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F549C0" w14:textId="69528783" w:rsidR="00FE2279" w:rsidRDefault="003E40BD" w:rsidP="004C7E97">
      <w:pPr>
        <w:spacing w:line="360" w:lineRule="auto"/>
        <w:jc w:val="left"/>
        <w:outlineLvl w:val="0"/>
        <w:rPr>
          <w:rFonts w:asciiTheme="minorBidi" w:hAnsiTheme="minorBidi" w:cstheme="minorBidi"/>
          <w:sz w:val="24"/>
          <w:szCs w:val="24"/>
        </w:rPr>
      </w:pPr>
      <w:r w:rsidRPr="00345EDB">
        <w:rPr>
          <w:rFonts w:asciiTheme="minorBidi" w:hAnsiTheme="minorBidi" w:cstheme="minorBidi"/>
          <w:color w:val="8EAADB" w:themeColor="accent5" w:themeTint="99"/>
          <w:sz w:val="40"/>
          <w:szCs w:val="40"/>
        </w:rPr>
        <w:t>International</w:t>
      </w:r>
      <w:r w:rsidR="0010540F" w:rsidRPr="00345EDB">
        <w:rPr>
          <w:rFonts w:asciiTheme="minorBidi" w:hAnsiTheme="minorBidi" w:cstheme="minorBidi"/>
          <w:color w:val="8EAADB" w:themeColor="accent5" w:themeTint="99"/>
          <w:sz w:val="40"/>
          <w:szCs w:val="40"/>
        </w:rPr>
        <w:t xml:space="preserve"> </w:t>
      </w:r>
      <w:r w:rsidRPr="00345EDB">
        <w:rPr>
          <w:rFonts w:asciiTheme="minorBidi" w:hAnsiTheme="minorBidi" w:cstheme="minorBidi"/>
          <w:color w:val="8EAADB" w:themeColor="accent5" w:themeTint="99"/>
          <w:sz w:val="40"/>
          <w:szCs w:val="40"/>
        </w:rPr>
        <w:t>bank</w:t>
      </w:r>
      <w:r w:rsidR="00A34F82" w:rsidRPr="00345EDB">
        <w:rPr>
          <w:rFonts w:asciiTheme="minorBidi" w:hAnsiTheme="minorBidi" w:cstheme="minorBidi"/>
          <w:color w:val="8EAADB" w:themeColor="accent5" w:themeTint="99"/>
          <w:sz w:val="40"/>
          <w:szCs w:val="40"/>
        </w:rPr>
        <w:t xml:space="preserve"> </w:t>
      </w:r>
      <w:r w:rsidR="00C30E69" w:rsidRPr="00345EDB">
        <w:rPr>
          <w:rFonts w:asciiTheme="minorBidi" w:hAnsiTheme="minorBidi" w:cstheme="minorBidi"/>
          <w:color w:val="8EAADB" w:themeColor="accent5" w:themeTint="99"/>
          <w:sz w:val="40"/>
          <w:szCs w:val="40"/>
        </w:rPr>
        <w:t xml:space="preserve">Risks report </w:t>
      </w:r>
      <w:r w:rsidR="00A34F82" w:rsidRPr="00345EDB">
        <w:rPr>
          <w:rFonts w:asciiTheme="minorBidi" w:hAnsiTheme="minorBidi" w:cstheme="minorBidi"/>
          <w:color w:val="8EAADB" w:themeColor="accent5" w:themeTint="99"/>
          <w:sz w:val="40"/>
          <w:szCs w:val="40"/>
        </w:rPr>
        <w:t>-</w:t>
      </w:r>
      <w:r w:rsidR="00C30E69" w:rsidRPr="00345EDB">
        <w:rPr>
          <w:rFonts w:asciiTheme="minorBidi" w:hAnsiTheme="minorBidi" w:cstheme="minorBidi"/>
          <w:color w:val="8EAADB" w:themeColor="accent5" w:themeTint="99"/>
          <w:sz w:val="40"/>
          <w:szCs w:val="40"/>
        </w:rPr>
        <w:t xml:space="preserve"> first quarter of 2019</w:t>
      </w:r>
      <w:r w:rsidR="004C7E97">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r w:rsidR="00DF55A5">
        <w:rPr>
          <w:rFonts w:asciiTheme="minorBidi" w:hAnsiTheme="minorBidi" w:cstheme="minorBidi"/>
          <w:b/>
          <w:bCs/>
          <w:color w:val="FF6600"/>
          <w:sz w:val="24"/>
          <w:szCs w:val="24"/>
        </w:rPr>
        <w:br/>
      </w:r>
    </w:p>
    <w:p w14:paraId="2237A8ED" w14:textId="21131697" w:rsidR="00F14E09" w:rsidRDefault="004060EC" w:rsidP="004C7E97">
      <w:pPr>
        <w:spacing w:line="360" w:lineRule="auto"/>
        <w:ind w:left="-100"/>
        <w:jc w:val="left"/>
        <w:rPr>
          <w:rStyle w:val="Hyperlink"/>
          <w:rFonts w:asciiTheme="minorBidi" w:hAnsiTheme="minorBidi" w:cstheme="minorBidi"/>
          <w:color w:val="000000" w:themeColor="text1"/>
          <w:sz w:val="24"/>
          <w:szCs w:val="24"/>
          <w:u w:val="none"/>
        </w:rPr>
      </w:pPr>
      <w:r w:rsidRPr="000E6747">
        <w:rPr>
          <w:rFonts w:asciiTheme="minorBidi" w:hAnsiTheme="minorBidi" w:cstheme="minorBidi"/>
          <w:sz w:val="24"/>
          <w:szCs w:val="24"/>
        </w:rPr>
        <w:t>This report includes additional information to the Bank's financial statements and is compiled in conformity with directives of the Supervisor of Banks, which include disclosure requirements of Basel Pillar 3 and additional disclosure requirements of the Financial Stability Board (FSB).</w:t>
      </w:r>
      <w:r w:rsidR="00F14E09">
        <w:rPr>
          <w:rStyle w:val="Hyperlink"/>
          <w:rFonts w:asciiTheme="minorBidi" w:hAnsiTheme="minorBidi" w:cstheme="minorBidi"/>
          <w:color w:val="000000" w:themeColor="text1"/>
          <w:sz w:val="24"/>
          <w:szCs w:val="24"/>
          <w:u w:val="none"/>
        </w:rPr>
        <w:br w:type="page"/>
      </w:r>
    </w:p>
    <w:p w14:paraId="0B78084D" w14:textId="77777777" w:rsidR="00A35C73" w:rsidRPr="00632C4E" w:rsidRDefault="00A35C73" w:rsidP="00297C24">
      <w:pPr>
        <w:spacing w:line="360" w:lineRule="auto"/>
        <w:ind w:left="-100"/>
        <w:jc w:val="left"/>
        <w:rPr>
          <w:rStyle w:val="Hyperlink"/>
          <w:rFonts w:asciiTheme="minorBidi" w:hAnsiTheme="minorBidi" w:cstheme="minorBidi"/>
          <w:color w:val="000000" w:themeColor="text1"/>
          <w:sz w:val="24"/>
          <w:szCs w:val="24"/>
          <w:u w:val="none"/>
        </w:rPr>
        <w:sectPr w:rsidR="00A35C73" w:rsidRPr="00632C4E" w:rsidSect="009045B2">
          <w:headerReference w:type="even" r:id="rId8"/>
          <w:headerReference w:type="default" r:id="rId9"/>
          <w:footerReference w:type="even" r:id="rId10"/>
          <w:footerReference w:type="default" r:id="rId11"/>
          <w:footnotePr>
            <w:pos w:val="beneathText"/>
            <w:numRestart w:val="eachPage"/>
          </w:footnotePr>
          <w:type w:val="continuous"/>
          <w:pgSz w:w="11907" w:h="16840" w:code="9"/>
          <w:pgMar w:top="1440" w:right="1304" w:bottom="1871" w:left="1304" w:header="720" w:footer="1134" w:gutter="0"/>
          <w:cols w:space="708"/>
          <w:rtlGutter/>
          <w:docGrid w:linePitch="360"/>
        </w:sectPr>
      </w:pPr>
    </w:p>
    <w:p w14:paraId="60C097A4" w14:textId="77777777" w:rsidR="000A1F1B" w:rsidRPr="00345EDB" w:rsidRDefault="000A1F1B" w:rsidP="00FA540B">
      <w:pPr>
        <w:ind w:left="-100"/>
        <w:outlineLvl w:val="1"/>
        <w:rPr>
          <w:rFonts w:asciiTheme="minorBidi" w:hAnsiTheme="minorBidi" w:cstheme="minorBidi"/>
          <w:b/>
          <w:bCs/>
          <w:color w:val="F4B083" w:themeColor="accent2" w:themeTint="99"/>
          <w:sz w:val="28"/>
          <w:szCs w:val="28"/>
        </w:rPr>
      </w:pPr>
      <w:bookmarkStart w:id="0" w:name="_Toc477442760"/>
      <w:bookmarkStart w:id="1" w:name="_Toc433792669"/>
      <w:r w:rsidRPr="00345EDB">
        <w:rPr>
          <w:rFonts w:asciiTheme="minorBidi" w:hAnsiTheme="minorBidi" w:cstheme="minorBidi"/>
          <w:b/>
          <w:bCs/>
          <w:color w:val="F4B083" w:themeColor="accent2" w:themeTint="99"/>
          <w:sz w:val="28"/>
          <w:szCs w:val="28"/>
        </w:rPr>
        <w:lastRenderedPageBreak/>
        <w:t>Risks Report</w:t>
      </w:r>
      <w:bookmarkEnd w:id="0"/>
    </w:p>
    <w:p w14:paraId="57866989" w14:textId="77777777" w:rsidR="000A1F1B" w:rsidRPr="00F6277F" w:rsidRDefault="000A1F1B" w:rsidP="00F6277F">
      <w:pPr>
        <w:spacing w:before="40"/>
        <w:rPr>
          <w:rFonts w:asciiTheme="minorBidi" w:hAnsiTheme="minorBidi" w:cstheme="minorBidi"/>
        </w:rPr>
      </w:pPr>
    </w:p>
    <w:p w14:paraId="5A8B8961" w14:textId="77777777" w:rsidR="000F7CC1" w:rsidRPr="000E6747" w:rsidRDefault="000A5FB5"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 xml:space="preserve">This risks report includes additional information to the condensed consolidated financial statements of Bank </w:t>
      </w:r>
      <w:r w:rsidR="00F50845" w:rsidRPr="000E6747">
        <w:rPr>
          <w:rFonts w:asciiTheme="minorBidi" w:hAnsiTheme="minorBidi" w:cstheme="minorBidi"/>
          <w:sz w:val="24"/>
          <w:szCs w:val="24"/>
        </w:rPr>
        <w:t>International</w:t>
      </w:r>
      <w:r w:rsidRPr="000E6747">
        <w:rPr>
          <w:rFonts w:asciiTheme="minorBidi" w:hAnsiTheme="minorBidi" w:cstheme="minorBidi"/>
          <w:sz w:val="24"/>
          <w:szCs w:val="24"/>
        </w:rPr>
        <w:t xml:space="preserve"> Ltd. and its subsidiaries as of March 31, 2019. </w:t>
      </w:r>
    </w:p>
    <w:p w14:paraId="36223B8F" w14:textId="77777777" w:rsidR="000A5FB5" w:rsidRPr="000E6747" w:rsidRDefault="000A5FB5"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The condensed financial statements and additional information to the condensed financial statements, including the Report of the Board of Directors and Management, this Risks  Report and other supervisory disclosures have been approved for publication by the Bank’s Board of Directors at its meeting held on May 20, 2019.</w:t>
      </w:r>
    </w:p>
    <w:p w14:paraId="5A53B750" w14:textId="77777777" w:rsidR="00C30E69" w:rsidRPr="000E6747" w:rsidRDefault="00C30E69"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The Risks Report and other supervisory disclosures are compiled in conformity with directives of the Supervisor of Banks, which include disclosure requirements of Basel Pillar 3, disclosure requirements published by the Financial Stability Board (FSB) and other disclosure requirements of the Financial Stability Board (FSB).</w:t>
      </w:r>
    </w:p>
    <w:p w14:paraId="58AC5426" w14:textId="77777777" w:rsidR="002119C0" w:rsidRPr="000E6747" w:rsidRDefault="002119C0" w:rsidP="00C018A3">
      <w:pPr>
        <w:spacing w:before="40" w:line="360" w:lineRule="auto"/>
        <w:jc w:val="left"/>
        <w:rPr>
          <w:rFonts w:asciiTheme="minorBidi" w:hAnsiTheme="minorBidi" w:cstheme="minorBidi"/>
          <w:sz w:val="24"/>
          <w:szCs w:val="24"/>
        </w:rPr>
      </w:pPr>
      <w:r w:rsidRPr="000E6747">
        <w:rPr>
          <w:rFonts w:asciiTheme="minorBidi" w:hAnsiTheme="minorBidi" w:cstheme="minorBidi"/>
          <w:sz w:val="24"/>
          <w:szCs w:val="24"/>
        </w:rPr>
        <w:t>Pursuant to the Public Reporting Regulations of the Supervisor of Banks, the quarterly format of the risks report is limited and focused on qualitative and quantitative disclosures whose quarterly analysis and presentation are material for readers of the report.</w:t>
      </w:r>
    </w:p>
    <w:p w14:paraId="662518B5" w14:textId="77777777" w:rsidR="002119C0" w:rsidRPr="000E6747" w:rsidRDefault="002119C0"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If needed, this report should be read in conjunction with the 2018 Risks Report.</w:t>
      </w:r>
    </w:p>
    <w:p w14:paraId="3831CEF7" w14:textId="77777777" w:rsidR="00C30E69" w:rsidRPr="000E6747" w:rsidRDefault="00C30E69"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The disclosure in this report is designated to allow users to evaluate significant information included with regard to implementation of the framework for capital measurement and adequacy and to implementation of provisions of "Basel III: A global regulatory framework for more resilient banks and banking systems".</w:t>
      </w:r>
    </w:p>
    <w:p w14:paraId="69DDB331" w14:textId="77777777" w:rsidR="00455B03" w:rsidRPr="000E6747" w:rsidRDefault="00455B03"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 xml:space="preserve">All of these reports are also available on the Bank’s website. </w:t>
      </w:r>
    </w:p>
    <w:p w14:paraId="79305A5B" w14:textId="77777777" w:rsidR="00455B03" w:rsidRPr="000E6747" w:rsidRDefault="00455B03" w:rsidP="00C018A3">
      <w:pPr>
        <w:widowControl w:val="0"/>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www.mizrahi-tefahot.co.il &gt;&gt; about the bank &gt;&gt; investor relations &gt;&gt; financial statements.</w:t>
      </w:r>
    </w:p>
    <w:p w14:paraId="4A4FE29E" w14:textId="77777777" w:rsidR="00807F0E" w:rsidRDefault="00807F0E">
      <w:pPr>
        <w:spacing w:after="160" w:line="259" w:lineRule="auto"/>
        <w:ind w:left="0" w:right="0"/>
        <w:jc w:val="left"/>
        <w:rPr>
          <w:rFonts w:asciiTheme="minorBidi" w:hAnsiTheme="minorBidi" w:cstheme="minorBidi"/>
          <w:sz w:val="24"/>
          <w:szCs w:val="24"/>
        </w:rPr>
      </w:pPr>
      <w:r>
        <w:rPr>
          <w:rFonts w:asciiTheme="minorBidi" w:hAnsiTheme="minorBidi" w:cstheme="minorBidi"/>
          <w:sz w:val="24"/>
          <w:szCs w:val="24"/>
        </w:rPr>
        <w:br w:type="page"/>
      </w:r>
    </w:p>
    <w:p w14:paraId="4F07430D" w14:textId="0C3AE42A" w:rsidR="00455B03" w:rsidRPr="000E6747" w:rsidRDefault="00455B03"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lastRenderedPageBreak/>
        <w:t>As directed by the Supervisor of Banks, additional information with regard to risks is provided in the Report of the Board of Directors and Management in the financial statements as of March 31, 2019, in the following chapters:</w:t>
      </w:r>
    </w:p>
    <w:p w14:paraId="64A43C70" w14:textId="1DA313B5" w:rsidR="00455B03" w:rsidRPr="00F14E09" w:rsidRDefault="00455B03" w:rsidP="00F14E09">
      <w:pPr>
        <w:pStyle w:val="ListParagraph"/>
        <w:numPr>
          <w:ilvl w:val="0"/>
          <w:numId w:val="26"/>
        </w:numPr>
        <w:tabs>
          <w:tab w:val="left" w:pos="144"/>
        </w:tabs>
        <w:spacing w:before="40" w:line="360" w:lineRule="auto"/>
        <w:jc w:val="left"/>
        <w:rPr>
          <w:rFonts w:asciiTheme="minorBidi" w:hAnsiTheme="minorBidi" w:cstheme="minorBidi"/>
          <w:sz w:val="24"/>
          <w:szCs w:val="24"/>
        </w:rPr>
      </w:pPr>
      <w:r w:rsidRPr="00F14E09">
        <w:rPr>
          <w:rFonts w:asciiTheme="minorBidi" w:hAnsiTheme="minorBidi" w:cstheme="minorBidi"/>
          <w:sz w:val="24"/>
          <w:szCs w:val="24"/>
        </w:rPr>
        <w:t>Chapter "Overview, targets and strategy" / major risks</w:t>
      </w:r>
    </w:p>
    <w:p w14:paraId="0BAF720D" w14:textId="4E95D127" w:rsidR="00455B03" w:rsidRPr="00F14E09" w:rsidRDefault="00455B03" w:rsidP="00F14E09">
      <w:pPr>
        <w:pStyle w:val="ListParagraph"/>
        <w:numPr>
          <w:ilvl w:val="0"/>
          <w:numId w:val="26"/>
        </w:numPr>
        <w:tabs>
          <w:tab w:val="left" w:pos="144"/>
        </w:tabs>
        <w:spacing w:before="40" w:line="360" w:lineRule="auto"/>
        <w:jc w:val="left"/>
        <w:rPr>
          <w:rFonts w:asciiTheme="minorBidi" w:hAnsiTheme="minorBidi" w:cstheme="minorBidi"/>
          <w:sz w:val="24"/>
          <w:szCs w:val="24"/>
        </w:rPr>
      </w:pPr>
      <w:r w:rsidRPr="00F14E09">
        <w:rPr>
          <w:rFonts w:asciiTheme="minorBidi" w:hAnsiTheme="minorBidi" w:cstheme="minorBidi"/>
          <w:sz w:val="24"/>
          <w:szCs w:val="24"/>
        </w:rPr>
        <w:t>Chapter "Explanation and analysis of results and business standing" / Key and emerging risks</w:t>
      </w:r>
    </w:p>
    <w:p w14:paraId="64B71CA2" w14:textId="0F90F63D" w:rsidR="00455B03" w:rsidRPr="00F14E09" w:rsidRDefault="00455B03" w:rsidP="00F14E09">
      <w:pPr>
        <w:pStyle w:val="ListParagraph"/>
        <w:numPr>
          <w:ilvl w:val="0"/>
          <w:numId w:val="26"/>
        </w:numPr>
        <w:tabs>
          <w:tab w:val="left" w:pos="144"/>
        </w:tabs>
        <w:spacing w:before="40" w:line="360" w:lineRule="auto"/>
        <w:jc w:val="left"/>
        <w:rPr>
          <w:rFonts w:asciiTheme="minorBidi" w:hAnsiTheme="minorBidi" w:cstheme="minorBidi"/>
          <w:sz w:val="24"/>
          <w:szCs w:val="24"/>
        </w:rPr>
      </w:pPr>
      <w:r w:rsidRPr="00F14E09">
        <w:rPr>
          <w:rFonts w:asciiTheme="minorBidi" w:hAnsiTheme="minorBidi" w:cstheme="minorBidi"/>
          <w:sz w:val="24"/>
          <w:szCs w:val="24"/>
        </w:rPr>
        <w:t>Chapter "Risks Overview"</w:t>
      </w:r>
    </w:p>
    <w:p w14:paraId="33ED6642" w14:textId="77777777" w:rsidR="00FC7886" w:rsidRPr="000E6747" w:rsidRDefault="00FC7886" w:rsidP="004C7E97">
      <w:pPr>
        <w:pStyle w:val="afb"/>
        <w:spacing w:before="240" w:line="360" w:lineRule="auto"/>
        <w:ind w:left="0" w:right="0"/>
        <w:rPr>
          <w:rFonts w:asciiTheme="minorBidi" w:eastAsia="Times New Roman" w:hAnsiTheme="minorBidi"/>
          <w:b w:val="0"/>
          <w:bCs w:val="0"/>
          <w:noProof/>
          <w:color w:val="000000"/>
          <w:sz w:val="24"/>
          <w:szCs w:val="24"/>
        </w:rPr>
      </w:pPr>
      <w:r w:rsidRPr="000E6747">
        <w:rPr>
          <w:rFonts w:asciiTheme="minorBidi" w:hAnsiTheme="minorBidi"/>
          <w:b w:val="0"/>
          <w:bCs w:val="0"/>
          <w:color w:val="000000"/>
          <w:sz w:val="24"/>
          <w:szCs w:val="24"/>
        </w:rPr>
        <w:t>In conformity with the Equal Rights to Handicapped Persons Regulations (Service Accessibility Adaptations), 2013, the website also provides accessible reports.</w:t>
      </w:r>
    </w:p>
    <w:p w14:paraId="142E1D60" w14:textId="3D68A68A" w:rsidR="00F3080E" w:rsidRDefault="004C7E97" w:rsidP="008230B7">
      <w:pPr>
        <w:tabs>
          <w:tab w:val="left" w:pos="4880"/>
          <w:tab w:val="left" w:pos="7940"/>
        </w:tabs>
        <w:spacing w:before="40" w:line="360" w:lineRule="auto"/>
        <w:ind w:right="520"/>
        <w:rPr>
          <w:rFonts w:asciiTheme="minorBidi" w:hAnsiTheme="minorBidi" w:cstheme="minorBidi"/>
          <w:b/>
          <w:bCs/>
          <w:color w:val="F4B083" w:themeColor="accent2" w:themeTint="99"/>
          <w:sz w:val="28"/>
          <w:szCs w:val="28"/>
        </w:rPr>
      </w:pPr>
      <w:r>
        <w:rPr>
          <w:rFonts w:asciiTheme="minorBidi" w:hAnsiTheme="minorBidi" w:cstheme="minorBidi"/>
          <w:sz w:val="24"/>
          <w:szCs w:val="24"/>
        </w:rPr>
        <w:br/>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t xml:space="preserve">Doron </w:t>
      </w:r>
      <w:r w:rsidR="00062AF0" w:rsidRPr="000E6747">
        <w:rPr>
          <w:rFonts w:asciiTheme="minorBidi" w:hAnsiTheme="minorBidi" w:cstheme="minorBidi"/>
          <w:sz w:val="24"/>
          <w:szCs w:val="24"/>
        </w:rPr>
        <w:t>Melzers</w:t>
      </w:r>
      <w:r w:rsidR="00C018A3">
        <w:rPr>
          <w:rFonts w:asciiTheme="minorBidi" w:hAnsiTheme="minorBidi" w:cstheme="minorBidi"/>
          <w:sz w:val="24"/>
          <w:szCs w:val="24"/>
        </w:rPr>
        <w:t xml:space="preserve">, </w:t>
      </w:r>
      <w:r w:rsidR="001D1E95" w:rsidRPr="000E6747">
        <w:rPr>
          <w:rFonts w:asciiTheme="minorBidi" w:hAnsiTheme="minorBidi" w:cstheme="minorBidi"/>
          <w:sz w:val="24"/>
          <w:szCs w:val="24"/>
        </w:rPr>
        <w:t>Chief risk officer</w:t>
      </w:r>
      <w:bookmarkEnd w:id="1"/>
      <w:r w:rsidR="00C559AE" w:rsidRPr="000E6747">
        <w:rPr>
          <w:rFonts w:asciiTheme="minorBidi" w:hAnsiTheme="minorBidi" w:cstheme="minorBidi"/>
          <w:sz w:val="24"/>
          <w:szCs w:val="24"/>
        </w:rPr>
        <w:br w:type="page"/>
      </w:r>
      <w:bookmarkStart w:id="2" w:name="_Toc9187301"/>
    </w:p>
    <w:p w14:paraId="1CD0A6DE" w14:textId="2351CCE4" w:rsidR="00FC7886" w:rsidRPr="00345EDB" w:rsidRDefault="00FC7886" w:rsidP="008230B7">
      <w:pPr>
        <w:tabs>
          <w:tab w:val="left" w:pos="4880"/>
          <w:tab w:val="left" w:pos="7940"/>
        </w:tabs>
        <w:spacing w:before="40" w:line="360" w:lineRule="auto"/>
        <w:ind w:right="520"/>
        <w:rPr>
          <w:rFonts w:asciiTheme="minorBidi" w:hAnsiTheme="minorBidi" w:cstheme="minorBidi"/>
          <w:b/>
          <w:bCs/>
          <w:color w:val="F4B083" w:themeColor="accent2" w:themeTint="99"/>
          <w:sz w:val="28"/>
          <w:szCs w:val="28"/>
        </w:rPr>
      </w:pPr>
      <w:r w:rsidRPr="00345EDB">
        <w:rPr>
          <w:rFonts w:asciiTheme="minorBidi" w:hAnsiTheme="minorBidi" w:cstheme="minorBidi"/>
          <w:b/>
          <w:bCs/>
          <w:color w:val="F4B083" w:themeColor="accent2" w:themeTint="99"/>
          <w:sz w:val="28"/>
          <w:szCs w:val="28"/>
        </w:rPr>
        <w:lastRenderedPageBreak/>
        <w:t>Bank approach to risk management (OVA)</w:t>
      </w:r>
      <w:bookmarkEnd w:id="2"/>
    </w:p>
    <w:p w14:paraId="55D1DECF"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The Bank complies with directives concerning risk management and control, as stipulated by the Supervisor of Banks, and in particular with Proper Conduct of Banking Business Directive310 "Risks Management", which is based on the Basel Committee recommendations and which specifies the principles for risks management and control in the Israeli banking system and stipulates the standards required of the banks for creating their risks management and control framework in line with regulatory requirements, the Bank's risk profile and its business targets. </w:t>
      </w:r>
    </w:p>
    <w:p w14:paraId="6F5D8662"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All policy documents for risk management and control at the Bank are based on these basic principles.</w:t>
      </w:r>
    </w:p>
    <w:p w14:paraId="71F95FF9"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The risks management and control framework at the Bank, as recommended by the Basel Committee, specifies three pillars:</w:t>
      </w:r>
    </w:p>
    <w:p w14:paraId="06E3D5C3" w14:textId="77777777" w:rsidR="000F7CC1" w:rsidRPr="00915B38" w:rsidRDefault="00FC7886" w:rsidP="003955A9">
      <w:pPr>
        <w:tabs>
          <w:tab w:val="num" w:pos="720"/>
        </w:tabs>
        <w:spacing w:before="40" w:after="120" w:line="360" w:lineRule="auto"/>
        <w:jc w:val="left"/>
        <w:rPr>
          <w:rFonts w:asciiTheme="minorBidi" w:hAnsiTheme="minorBidi" w:cstheme="minorBidi"/>
          <w:spacing w:val="-2"/>
          <w:sz w:val="24"/>
          <w:szCs w:val="24"/>
        </w:rPr>
      </w:pPr>
      <w:r w:rsidRPr="00915B38">
        <w:rPr>
          <w:rFonts w:asciiTheme="minorBidi" w:hAnsiTheme="minorBidi" w:cstheme="minorBidi"/>
          <w:spacing w:val="-2"/>
          <w:sz w:val="24"/>
          <w:szCs w:val="24"/>
        </w:rPr>
        <w:t>Pillar 1 – minimum capital – minimum capital</w:t>
      </w:r>
      <w:r w:rsidR="001848FF" w:rsidRPr="00915B38">
        <w:rPr>
          <w:rFonts w:asciiTheme="minorBidi" w:hAnsiTheme="minorBidi" w:cstheme="minorBidi"/>
          <w:spacing w:val="-2"/>
          <w:sz w:val="24"/>
          <w:szCs w:val="24"/>
        </w:rPr>
        <w:fldChar w:fldCharType="begin"/>
      </w:r>
      <w:r w:rsidR="001848FF" w:rsidRPr="00915B38">
        <w:rPr>
          <w:rFonts w:asciiTheme="minorBidi" w:hAnsiTheme="minorBidi" w:cstheme="minorBidi"/>
          <w:spacing w:val="-2"/>
          <w:sz w:val="24"/>
          <w:szCs w:val="24"/>
        </w:rPr>
        <w:instrText xml:space="preserve"> XE "Capital" </w:instrText>
      </w:r>
      <w:r w:rsidR="001848FF"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xml:space="preserve"> allocation requirements with respect to credit risk</w:t>
      </w:r>
      <w:r w:rsidRPr="00915B38">
        <w:rPr>
          <w:rFonts w:asciiTheme="minorBidi" w:hAnsiTheme="minorBidi" w:cstheme="minorBidi"/>
          <w:spacing w:val="-2"/>
          <w:sz w:val="24"/>
          <w:szCs w:val="24"/>
        </w:rPr>
        <w:fldChar w:fldCharType="begin"/>
      </w:r>
      <w:r w:rsidRPr="00915B38">
        <w:rPr>
          <w:rFonts w:asciiTheme="minorBidi" w:hAnsiTheme="minorBidi" w:cstheme="minorBidi"/>
          <w:spacing w:val="-2"/>
          <w:sz w:val="24"/>
          <w:szCs w:val="24"/>
        </w:rPr>
        <w:instrText xml:space="preserve"> XE "Credit risk" </w:instrText>
      </w:r>
      <w:r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market risk</w:t>
      </w:r>
      <w:r w:rsidRPr="00915B38">
        <w:rPr>
          <w:rFonts w:asciiTheme="minorBidi" w:hAnsiTheme="minorBidi" w:cstheme="minorBidi"/>
          <w:spacing w:val="-2"/>
          <w:sz w:val="24"/>
          <w:szCs w:val="24"/>
        </w:rPr>
        <w:fldChar w:fldCharType="begin"/>
      </w:r>
      <w:r w:rsidRPr="00915B38">
        <w:rPr>
          <w:rFonts w:asciiTheme="minorBidi" w:hAnsiTheme="minorBidi" w:cstheme="minorBidi"/>
          <w:spacing w:val="-2"/>
          <w:sz w:val="24"/>
          <w:szCs w:val="24"/>
        </w:rPr>
        <w:instrText xml:space="preserve"> XE "Market risk" </w:instrText>
      </w:r>
      <w:r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xml:space="preserve"> and operational risk</w:t>
      </w:r>
      <w:r w:rsidRPr="00915B38">
        <w:rPr>
          <w:rFonts w:asciiTheme="minorBidi" w:hAnsiTheme="minorBidi" w:cstheme="minorBidi"/>
          <w:spacing w:val="-2"/>
          <w:sz w:val="24"/>
          <w:szCs w:val="24"/>
        </w:rPr>
        <w:fldChar w:fldCharType="begin"/>
      </w:r>
      <w:r w:rsidRPr="00915B38">
        <w:rPr>
          <w:rFonts w:asciiTheme="minorBidi" w:hAnsiTheme="minorBidi" w:cstheme="minorBidi"/>
          <w:spacing w:val="-2"/>
          <w:sz w:val="24"/>
          <w:szCs w:val="24"/>
        </w:rPr>
        <w:instrText xml:space="preserve"> XE "Operational risk" </w:instrText>
      </w:r>
      <w:r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xml:space="preserve"> calculated by standard models. </w:t>
      </w:r>
    </w:p>
    <w:p w14:paraId="6D8C4885" w14:textId="77777777" w:rsidR="00FC7886" w:rsidRPr="00915B38" w:rsidRDefault="00FC7886" w:rsidP="003955A9">
      <w:pPr>
        <w:tabs>
          <w:tab w:val="num" w:pos="720"/>
        </w:tabs>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Pillar 2 – Supervision and control process over capital adequacy, the Internal Capital Adequacy Assessment Process (ICAAP) conducted by the Bank, as well as the Supervisory Review and Evaluation Process (SREP).</w:t>
      </w:r>
    </w:p>
    <w:p w14:paraId="39C6F660"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Pillar 3 – "market discipline" – reporting and disclosure to the regulating authority and to the public.</w:t>
      </w:r>
    </w:p>
    <w:p w14:paraId="20E6959F"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Efficient, comprehensive risks management is a key foundation for ensuring the Bank's stability over time. </w:t>
      </w:r>
    </w:p>
    <w:p w14:paraId="4906B8F2"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Risks management and control processes at the Bank and at the Group are designed to identify, manage, quantify and mitigate all risks associated with Bank operations and to support achievement of the Bank's business objectives. </w:t>
      </w:r>
    </w:p>
    <w:p w14:paraId="21F200FF" w14:textId="77777777" w:rsidR="000F7CC1" w:rsidRPr="0098330E" w:rsidRDefault="00FC7886" w:rsidP="003955A9">
      <w:pPr>
        <w:spacing w:before="40" w:after="120" w:line="360" w:lineRule="auto"/>
        <w:jc w:val="left"/>
        <w:rPr>
          <w:rFonts w:asciiTheme="minorBidi" w:hAnsiTheme="minorBidi" w:cstheme="minorBidi"/>
          <w:color w:val="auto"/>
          <w:sz w:val="24"/>
          <w:szCs w:val="24"/>
        </w:rPr>
      </w:pPr>
      <w:r w:rsidRPr="0098330E">
        <w:rPr>
          <w:rFonts w:asciiTheme="minorBidi" w:hAnsiTheme="minorBidi" w:cstheme="minorBidi"/>
          <w:color w:val="auto"/>
          <w:sz w:val="24"/>
          <w:szCs w:val="24"/>
        </w:rPr>
        <w:t xml:space="preserve">The Bank is exposed to a succession of risks which may potentially impact its financial results and its image. </w:t>
      </w:r>
    </w:p>
    <w:p w14:paraId="5C1CEB63"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lastRenderedPageBreak/>
        <w:t>The Bank exposed to financial risks, such as: credit risks and market and interest risks, as well as non-financial risks, such as: compliance risks, operating, legal, reputation risk</w:t>
      </w:r>
      <w:r w:rsidRPr="00915B38">
        <w:rPr>
          <w:rFonts w:asciiTheme="minorBidi" w:hAnsiTheme="minorBidi" w:cstheme="minorBidi"/>
          <w:sz w:val="24"/>
          <w:szCs w:val="24"/>
        </w:rPr>
        <w:fldChar w:fldCharType="begin"/>
      </w:r>
      <w:r w:rsidRPr="00915B38">
        <w:rPr>
          <w:rFonts w:asciiTheme="minorBidi" w:hAnsiTheme="minorBidi" w:cstheme="minorBidi"/>
          <w:sz w:val="24"/>
          <w:szCs w:val="24"/>
        </w:rPr>
        <w:instrText xml:space="preserve"> XE "Reputation risk" </w:instrText>
      </w:r>
      <w:r w:rsidRPr="00915B38">
        <w:rPr>
          <w:rFonts w:asciiTheme="minorBidi" w:hAnsiTheme="minorBidi" w:cstheme="minorBidi"/>
          <w:sz w:val="24"/>
          <w:szCs w:val="24"/>
        </w:rPr>
        <w:fldChar w:fldCharType="end"/>
      </w:r>
      <w:r w:rsidRPr="00915B38">
        <w:rPr>
          <w:rFonts w:asciiTheme="minorBidi" w:hAnsiTheme="minorBidi" w:cstheme="minorBidi"/>
          <w:sz w:val="24"/>
          <w:szCs w:val="24"/>
        </w:rPr>
        <w:t xml:space="preserve"> and other risks. </w:t>
      </w:r>
    </w:p>
    <w:p w14:paraId="5C7F0A02"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Risks management at the Group is conducted from a comprehensive viewpoint of Bank operations in Israel and at overseas affiliates and in conformity with regulatory requirements, so as to support achievement of the Group's strategic objectives, while assuming risks in an informed manner and maintaining a risk level in line with the overall risk appetite specified by the Bank’s Board of Directors.</w:t>
      </w:r>
    </w:p>
    <w:p w14:paraId="10AFCECA"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The risk appetite defines, at the highest level, the overall risk level which the Bank wishes to and can assume. </w:t>
      </w:r>
    </w:p>
    <w:p w14:paraId="439CC99D" w14:textId="77777777" w:rsidR="000F7CC1" w:rsidRPr="00915B38" w:rsidRDefault="000D7EF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The risk appetite defines where the Bank would like to be in terms of reward (proceeds/benefit) vs. risk (cost from a forward-looking viewpoint). </w:t>
      </w:r>
    </w:p>
    <w:p w14:paraId="70EF68A5"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Risk appetite is defined in qualitative and quantitative terms and is based on the risk strategy and on basic principles of the Bank's business and strategic plan and on the required liquidity and capital for achieving the strategic objectives. </w:t>
      </w:r>
    </w:p>
    <w:p w14:paraId="2B8E6F43" w14:textId="77777777" w:rsidR="000F7CC1" w:rsidRPr="00915B38" w:rsidRDefault="000D7EF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Risk tolerance is a specific determination of risk levels for all risks to which the Bank is exposed. </w:t>
      </w:r>
    </w:p>
    <w:p w14:paraId="124F37C8" w14:textId="77777777" w:rsidR="000F7CC1" w:rsidRPr="00915B38" w:rsidRDefault="00FC7886" w:rsidP="003955A9">
      <w:pPr>
        <w:spacing w:before="40" w:after="120" w:line="360" w:lineRule="auto"/>
        <w:jc w:val="left"/>
        <w:rPr>
          <w:rFonts w:asciiTheme="minorBidi" w:hAnsiTheme="minorBidi" w:cstheme="minorBidi"/>
          <w:spacing w:val="-4"/>
          <w:sz w:val="24"/>
          <w:szCs w:val="24"/>
        </w:rPr>
      </w:pPr>
      <w:r w:rsidRPr="00915B38">
        <w:rPr>
          <w:rFonts w:asciiTheme="minorBidi" w:hAnsiTheme="minorBidi" w:cstheme="minorBidi"/>
          <w:spacing w:val="-4"/>
          <w:sz w:val="24"/>
          <w:szCs w:val="24"/>
        </w:rPr>
        <w:t xml:space="preserve">Risk levels are determined by a range of qualitative and quantitative benchmarks, in support of achieving the business goals, while keeping the Bank within the overall limits of the specified risk appetite and subject to strict regulatory restrictions. </w:t>
      </w:r>
    </w:p>
    <w:p w14:paraId="041BB05A" w14:textId="77777777" w:rsidR="00FC7886" w:rsidRPr="0098330E" w:rsidRDefault="00FC7886" w:rsidP="003955A9">
      <w:pPr>
        <w:spacing w:before="40" w:after="120" w:line="360" w:lineRule="auto"/>
        <w:jc w:val="left"/>
        <w:rPr>
          <w:rFonts w:asciiTheme="minorBidi" w:hAnsiTheme="minorBidi" w:cstheme="minorBidi"/>
          <w:color w:val="auto"/>
          <w:sz w:val="24"/>
          <w:szCs w:val="24"/>
        </w:rPr>
      </w:pPr>
      <w:r w:rsidRPr="0098330E">
        <w:rPr>
          <w:rFonts w:asciiTheme="minorBidi" w:hAnsiTheme="minorBidi" w:cstheme="minorBidi"/>
          <w:color w:val="auto"/>
          <w:sz w:val="24"/>
          <w:szCs w:val="24"/>
        </w:rPr>
        <w:t>These risk restrictions, on aggregate, reflect the overall risk level which the Bank is willing to assume.</w:t>
      </w:r>
    </w:p>
    <w:p w14:paraId="3549251E" w14:textId="77777777" w:rsidR="00062AF0" w:rsidRPr="00915B38" w:rsidRDefault="00062AF0"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For further information </w:t>
      </w:r>
      <w:hyperlink r:id="rId12" w:tooltip="of risks in banking sector" w:history="1">
        <w:r w:rsidR="00C834E0">
          <w:rPr>
            <w:rStyle w:val="Hyperlink"/>
            <w:rFonts w:asciiTheme="minorBidi" w:hAnsiTheme="minorBidi" w:cstheme="minorBidi"/>
            <w:sz w:val="24"/>
            <w:szCs w:val="24"/>
          </w:rPr>
          <w:t>click here</w:t>
        </w:r>
      </w:hyperlink>
      <w:r w:rsidRPr="00915B38">
        <w:rPr>
          <w:rFonts w:asciiTheme="minorBidi" w:hAnsiTheme="minorBidi" w:cstheme="minorBidi"/>
          <w:sz w:val="24"/>
          <w:szCs w:val="24"/>
        </w:rPr>
        <w:t>.</w:t>
      </w:r>
    </w:p>
    <w:p w14:paraId="5221C11F" w14:textId="77777777" w:rsidR="0084616A" w:rsidRPr="00915B38" w:rsidRDefault="0084616A" w:rsidP="00915B38">
      <w:pPr>
        <w:spacing w:after="160"/>
        <w:ind w:left="0" w:right="0"/>
        <w:jc w:val="left"/>
        <w:rPr>
          <w:rFonts w:asciiTheme="minorBidi" w:hAnsiTheme="minorBidi" w:cstheme="minorBidi"/>
          <w:b/>
          <w:bCs/>
          <w:noProof/>
          <w:color w:val="FF6600"/>
          <w:sz w:val="24"/>
          <w:szCs w:val="24"/>
        </w:rPr>
      </w:pPr>
      <w:r w:rsidRPr="00915B38">
        <w:rPr>
          <w:rFonts w:asciiTheme="minorBidi" w:hAnsiTheme="minorBidi" w:cstheme="minorBidi"/>
          <w:sz w:val="24"/>
          <w:szCs w:val="24"/>
        </w:rPr>
        <w:br w:type="page"/>
      </w:r>
    </w:p>
    <w:p w14:paraId="73FA9834" w14:textId="77777777" w:rsidR="00FC7886" w:rsidRPr="00345EDB" w:rsidRDefault="00FC7886" w:rsidP="00FA540B">
      <w:pPr>
        <w:pStyle w:val="12-"/>
        <w:spacing w:before="120" w:after="200" w:line="240" w:lineRule="auto"/>
        <w:ind w:left="-100"/>
        <w:outlineLvl w:val="9"/>
        <w:rPr>
          <w:noProof w:val="0"/>
          <w:color w:val="F4B083" w:themeColor="accent2" w:themeTint="99"/>
          <w:sz w:val="28"/>
          <w:szCs w:val="28"/>
          <w:lang w:eastAsia="en-US"/>
        </w:rPr>
      </w:pPr>
      <w:bookmarkStart w:id="3" w:name="_Toc9187303"/>
      <w:r w:rsidRPr="00345EDB">
        <w:rPr>
          <w:noProof w:val="0"/>
          <w:color w:val="F4B083" w:themeColor="accent2" w:themeTint="99"/>
          <w:sz w:val="28"/>
          <w:szCs w:val="28"/>
          <w:lang w:eastAsia="en-US"/>
        </w:rPr>
        <w:lastRenderedPageBreak/>
        <w:t>General mapping of risk factors and their impact</w:t>
      </w:r>
      <w:bookmarkEnd w:id="3"/>
    </w:p>
    <w:p w14:paraId="6FADE9D7" w14:textId="77777777" w:rsidR="00FC7886" w:rsidRPr="00EF4C58" w:rsidRDefault="00FC7886" w:rsidP="003955A9">
      <w:pPr>
        <w:spacing w:before="120" w:after="60" w:line="360" w:lineRule="auto"/>
        <w:jc w:val="left"/>
        <w:rPr>
          <w:rFonts w:asciiTheme="minorBidi" w:hAnsiTheme="minorBidi" w:cstheme="minorBidi"/>
          <w:sz w:val="24"/>
          <w:szCs w:val="24"/>
        </w:rPr>
      </w:pPr>
      <w:bookmarkStart w:id="4" w:name="מיפוי_גורמי_הסיכון"/>
      <w:r w:rsidRPr="00EF4C58">
        <w:rPr>
          <w:rFonts w:asciiTheme="minorBidi" w:hAnsiTheme="minorBidi" w:cstheme="minorBidi"/>
          <w:sz w:val="24"/>
          <w:szCs w:val="24"/>
        </w:rPr>
        <w:t>Below is a mapping of risk factors, their potential impact on the Bank Group and executives appointed Risk Owners for each risk factor</w:t>
      </w:r>
      <w:bookmarkEnd w:id="4"/>
      <w:r w:rsidRPr="00EF4C58">
        <w:rPr>
          <w:rFonts w:asciiTheme="minorBidi" w:hAnsiTheme="minorBidi" w:cstheme="minorBidi"/>
          <w:sz w:val="24"/>
          <w:szCs w:val="24"/>
        </w:rPr>
        <w:t xml:space="preserve">: </w:t>
      </w:r>
    </w:p>
    <w:tbl>
      <w:tblPr>
        <w:tblW w:w="9526" w:type="dxa"/>
        <w:tblInd w:w="-108" w:type="dxa"/>
        <w:tblBorders>
          <w:top w:val="single" w:sz="2" w:space="0" w:color="262626" w:themeColor="text1" w:themeTint="D9"/>
          <w:left w:val="single" w:sz="2" w:space="0" w:color="262626" w:themeColor="text1" w:themeTint="D9"/>
          <w:bottom w:val="single" w:sz="2" w:space="0" w:color="262626" w:themeColor="text1" w:themeTint="D9"/>
          <w:right w:val="single" w:sz="2" w:space="0" w:color="262626" w:themeColor="text1" w:themeTint="D9"/>
          <w:insideH w:val="single" w:sz="2" w:space="0" w:color="262626" w:themeColor="text1" w:themeTint="D9"/>
          <w:insideV w:val="single" w:sz="2" w:space="0" w:color="262626" w:themeColor="text1" w:themeTint="D9"/>
        </w:tblBorders>
        <w:tblLayout w:type="fixed"/>
        <w:tblCellMar>
          <w:left w:w="0" w:type="dxa"/>
          <w:right w:w="0" w:type="dxa"/>
        </w:tblCellMar>
        <w:tblLook w:val="01E0" w:firstRow="1" w:lastRow="1" w:firstColumn="1" w:lastColumn="1" w:noHBand="0" w:noVBand="0"/>
        <w:tblCaption w:val="General mapping of risk factors and their impact"/>
      </w:tblPr>
      <w:tblGrid>
        <w:gridCol w:w="3272"/>
        <w:gridCol w:w="2790"/>
        <w:gridCol w:w="3464"/>
      </w:tblGrid>
      <w:tr w:rsidR="00FC7886" w:rsidRPr="00EF4C58" w14:paraId="3AC9E41C" w14:textId="38494579" w:rsidTr="00B847A6">
        <w:trPr>
          <w:cantSplit/>
          <w:trHeight w:val="102"/>
          <w:tblHeader/>
        </w:trPr>
        <w:tc>
          <w:tcPr>
            <w:tcW w:w="3272" w:type="dxa"/>
            <w:shd w:val="clear" w:color="auto" w:fill="auto"/>
            <w:vAlign w:val="center"/>
          </w:tcPr>
          <w:p w14:paraId="7DF0CD1F" w14:textId="77777777" w:rsidR="00FC7886" w:rsidRPr="00EF4C58" w:rsidRDefault="00FC7886" w:rsidP="00F14E09">
            <w:pPr>
              <w:spacing w:before="80" w:after="80"/>
              <w:ind w:left="105" w:right="0"/>
              <w:jc w:val="left"/>
              <w:rPr>
                <w:rFonts w:asciiTheme="minorBidi" w:hAnsiTheme="minorBidi" w:cstheme="minorBidi"/>
                <w:b/>
                <w:bCs/>
                <w:sz w:val="24"/>
                <w:szCs w:val="24"/>
              </w:rPr>
            </w:pPr>
            <w:bookmarkStart w:id="5" w:name="ColumnTitle_1"/>
            <w:r w:rsidRPr="00EF4C58">
              <w:rPr>
                <w:rFonts w:asciiTheme="minorBidi" w:hAnsiTheme="minorBidi" w:cstheme="minorBidi"/>
                <w:b/>
                <w:bCs/>
                <w:sz w:val="24"/>
                <w:szCs w:val="24"/>
              </w:rPr>
              <w:t>Risk factor</w:t>
            </w:r>
          </w:p>
        </w:tc>
        <w:tc>
          <w:tcPr>
            <w:tcW w:w="2790" w:type="dxa"/>
            <w:shd w:val="clear" w:color="auto" w:fill="auto"/>
            <w:vAlign w:val="center"/>
          </w:tcPr>
          <w:p w14:paraId="19FA0D62" w14:textId="0AC9D1D9" w:rsidR="00FC7886" w:rsidRPr="00EF4C58" w:rsidRDefault="00FC7886" w:rsidP="00F14E09">
            <w:pPr>
              <w:spacing w:before="80" w:after="80"/>
              <w:ind w:left="255" w:right="0"/>
              <w:jc w:val="left"/>
              <w:rPr>
                <w:rFonts w:asciiTheme="minorBidi" w:hAnsiTheme="minorBidi" w:cstheme="minorBidi"/>
                <w:b/>
                <w:bCs/>
                <w:sz w:val="24"/>
                <w:szCs w:val="24"/>
              </w:rPr>
            </w:pPr>
            <w:r w:rsidRPr="00EF4C58">
              <w:rPr>
                <w:rFonts w:asciiTheme="minorBidi" w:hAnsiTheme="minorBidi" w:cstheme="minorBidi"/>
                <w:b/>
                <w:bCs/>
                <w:sz w:val="24"/>
                <w:szCs w:val="24"/>
              </w:rPr>
              <w:t xml:space="preserve">Risk factor impact </w:t>
            </w:r>
          </w:p>
        </w:tc>
        <w:tc>
          <w:tcPr>
            <w:tcW w:w="3464" w:type="dxa"/>
            <w:shd w:val="clear" w:color="auto" w:fill="auto"/>
            <w:vAlign w:val="center"/>
          </w:tcPr>
          <w:p w14:paraId="28E02A77" w14:textId="759FCC52" w:rsidR="00FC7886" w:rsidRPr="00EF4C58" w:rsidRDefault="00FC7886" w:rsidP="00F14E09">
            <w:pPr>
              <w:spacing w:before="80" w:after="80"/>
              <w:ind w:left="165" w:right="0"/>
              <w:jc w:val="left"/>
              <w:rPr>
                <w:rFonts w:asciiTheme="minorBidi" w:hAnsiTheme="minorBidi" w:cstheme="minorBidi"/>
                <w:b/>
                <w:bCs/>
                <w:sz w:val="24"/>
                <w:szCs w:val="24"/>
              </w:rPr>
            </w:pPr>
            <w:r w:rsidRPr="00EF4C58">
              <w:rPr>
                <w:rFonts w:asciiTheme="minorBidi" w:hAnsiTheme="minorBidi" w:cstheme="minorBidi"/>
                <w:b/>
                <w:bCs/>
                <w:sz w:val="24"/>
                <w:szCs w:val="24"/>
              </w:rPr>
              <w:t>Risk Owner</w:t>
            </w:r>
          </w:p>
        </w:tc>
      </w:tr>
      <w:bookmarkEnd w:id="5"/>
      <w:tr w:rsidR="00FC7886" w:rsidRPr="00EF4C58" w14:paraId="3FBED18F" w14:textId="77777777" w:rsidTr="00B847A6">
        <w:trPr>
          <w:cantSplit/>
        </w:trPr>
        <w:tc>
          <w:tcPr>
            <w:tcW w:w="3272" w:type="dxa"/>
            <w:vAlign w:val="center"/>
          </w:tcPr>
          <w:p w14:paraId="6E40C795"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Overall effect of credit risks</w:t>
            </w:r>
          </w:p>
        </w:tc>
        <w:tc>
          <w:tcPr>
            <w:tcW w:w="2790" w:type="dxa"/>
            <w:shd w:val="clear" w:color="auto" w:fill="auto"/>
            <w:vAlign w:val="center"/>
          </w:tcPr>
          <w:p w14:paraId="46358EEC"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0FB8CDE0"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50ED45B8" w14:textId="77777777" w:rsidTr="00B847A6">
        <w:trPr>
          <w:cantSplit/>
        </w:trPr>
        <w:tc>
          <w:tcPr>
            <w:tcW w:w="3272" w:type="dxa"/>
            <w:vAlign w:val="center"/>
          </w:tcPr>
          <w:p w14:paraId="167A23DB"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Risk from quality of borrowers and collateral</w:t>
            </w:r>
          </w:p>
        </w:tc>
        <w:tc>
          <w:tcPr>
            <w:tcW w:w="2790" w:type="dxa"/>
            <w:shd w:val="clear" w:color="auto" w:fill="auto"/>
            <w:vAlign w:val="center"/>
          </w:tcPr>
          <w:p w14:paraId="66BE5848"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2F4DA630"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636A2F5A" w14:textId="77777777" w:rsidTr="00B847A6">
        <w:trPr>
          <w:cantSplit/>
        </w:trPr>
        <w:tc>
          <w:tcPr>
            <w:tcW w:w="3272" w:type="dxa"/>
            <w:vAlign w:val="center"/>
          </w:tcPr>
          <w:p w14:paraId="39988C38"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 xml:space="preserve">Risk from industry concentration </w:t>
            </w:r>
          </w:p>
        </w:tc>
        <w:tc>
          <w:tcPr>
            <w:tcW w:w="2790" w:type="dxa"/>
            <w:shd w:val="clear" w:color="auto" w:fill="auto"/>
            <w:vAlign w:val="center"/>
          </w:tcPr>
          <w:p w14:paraId="2C481B29"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6546AD10"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629C88D7" w14:textId="77777777" w:rsidTr="00B847A6">
        <w:trPr>
          <w:cantSplit/>
        </w:trPr>
        <w:tc>
          <w:tcPr>
            <w:tcW w:w="3272" w:type="dxa"/>
            <w:vAlign w:val="center"/>
          </w:tcPr>
          <w:p w14:paraId="7BA78927"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Risk from concentration of borrowers/ borrower groups</w:t>
            </w:r>
          </w:p>
        </w:tc>
        <w:tc>
          <w:tcPr>
            <w:tcW w:w="2790" w:type="dxa"/>
            <w:shd w:val="clear" w:color="auto" w:fill="auto"/>
            <w:vAlign w:val="center"/>
          </w:tcPr>
          <w:p w14:paraId="654587DD"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377A1C4D"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19942A32" w14:textId="77777777" w:rsidTr="00B847A6">
        <w:trPr>
          <w:cantSplit/>
        </w:trPr>
        <w:tc>
          <w:tcPr>
            <w:tcW w:w="3272" w:type="dxa"/>
            <w:vAlign w:val="center"/>
          </w:tcPr>
          <w:p w14:paraId="2A3A9C43"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Risk with respect to mortgage portfolio</w:t>
            </w:r>
          </w:p>
        </w:tc>
        <w:tc>
          <w:tcPr>
            <w:tcW w:w="2790" w:type="dxa"/>
            <w:shd w:val="clear" w:color="auto" w:fill="auto"/>
            <w:vAlign w:val="center"/>
          </w:tcPr>
          <w:p w14:paraId="25898F5B"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294D67CF"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61693B09" w14:textId="77777777" w:rsidTr="00B847A6">
        <w:trPr>
          <w:cantSplit/>
        </w:trPr>
        <w:tc>
          <w:tcPr>
            <w:tcW w:w="3272" w:type="dxa"/>
            <w:vAlign w:val="center"/>
          </w:tcPr>
          <w:p w14:paraId="64238A44"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Overall effect of market risk</w:t>
            </w:r>
            <w:r w:rsidR="00D757CA" w:rsidRPr="00EF4C58">
              <w:rPr>
                <w:rFonts w:asciiTheme="minorBidi" w:hAnsiTheme="minorBidi" w:cstheme="minorBidi"/>
                <w:sz w:val="24"/>
                <w:szCs w:val="24"/>
              </w:rPr>
              <w:fldChar w:fldCharType="begin"/>
            </w:r>
            <w:r w:rsidR="00D757CA" w:rsidRPr="00EF4C58">
              <w:rPr>
                <w:sz w:val="24"/>
                <w:szCs w:val="24"/>
              </w:rPr>
              <w:instrText xml:space="preserve"> XE "</w:instrText>
            </w:r>
            <w:r w:rsidR="00D757CA" w:rsidRPr="00EF4C58">
              <w:rPr>
                <w:rFonts w:asciiTheme="minorBidi" w:hAnsiTheme="minorBidi" w:cstheme="minorBidi"/>
                <w:sz w:val="24"/>
                <w:szCs w:val="24"/>
              </w:rPr>
              <w:instrText>market risk</w:instrText>
            </w:r>
            <w:r w:rsidR="00D757CA" w:rsidRPr="00EF4C58">
              <w:rPr>
                <w:sz w:val="24"/>
                <w:szCs w:val="24"/>
              </w:rPr>
              <w:instrText xml:space="preserve">" </w:instrText>
            </w:r>
            <w:r w:rsidR="00D757CA" w:rsidRPr="00EF4C58">
              <w:rPr>
                <w:rFonts w:asciiTheme="minorBidi" w:hAnsiTheme="minorBidi" w:cstheme="minorBidi"/>
                <w:sz w:val="24"/>
                <w:szCs w:val="24"/>
              </w:rPr>
              <w:fldChar w:fldCharType="end"/>
            </w:r>
          </w:p>
        </w:tc>
        <w:tc>
          <w:tcPr>
            <w:tcW w:w="2790" w:type="dxa"/>
            <w:shd w:val="clear" w:color="auto" w:fill="auto"/>
            <w:vAlign w:val="center"/>
          </w:tcPr>
          <w:p w14:paraId="427C4532"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3477579F"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240644A3" w14:textId="77777777" w:rsidTr="00B847A6">
        <w:trPr>
          <w:cantSplit/>
        </w:trPr>
        <w:tc>
          <w:tcPr>
            <w:tcW w:w="3272" w:type="dxa"/>
            <w:vAlign w:val="center"/>
          </w:tcPr>
          <w:p w14:paraId="1D0AC507"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Interest risk</w:t>
            </w:r>
            <w:r w:rsidRPr="00EF4C58">
              <w:rPr>
                <w:rFonts w:asciiTheme="minorBidi" w:hAnsiTheme="minorBidi" w:cstheme="minorBidi"/>
                <w:sz w:val="24"/>
                <w:szCs w:val="24"/>
              </w:rPr>
              <w:fldChar w:fldCharType="begin"/>
            </w:r>
            <w:r w:rsidRPr="00EF4C58">
              <w:rPr>
                <w:rFonts w:asciiTheme="minorBidi" w:hAnsiTheme="minorBidi" w:cstheme="minorBidi"/>
                <w:sz w:val="24"/>
                <w:szCs w:val="24"/>
              </w:rPr>
              <w:instrText xml:space="preserve"> XE "Interest risk" </w:instrText>
            </w:r>
            <w:r w:rsidRPr="00EF4C58">
              <w:rPr>
                <w:rFonts w:asciiTheme="minorBidi" w:hAnsiTheme="minorBidi" w:cstheme="minorBidi"/>
                <w:sz w:val="24"/>
                <w:szCs w:val="24"/>
              </w:rPr>
              <w:fldChar w:fldCharType="end"/>
            </w:r>
          </w:p>
        </w:tc>
        <w:tc>
          <w:tcPr>
            <w:tcW w:w="2790" w:type="dxa"/>
            <w:shd w:val="clear" w:color="auto" w:fill="auto"/>
            <w:vAlign w:val="center"/>
          </w:tcPr>
          <w:p w14:paraId="41356194"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Medium</w:t>
            </w:r>
          </w:p>
        </w:tc>
        <w:tc>
          <w:tcPr>
            <w:tcW w:w="3464" w:type="dxa"/>
            <w:shd w:val="clear" w:color="auto" w:fill="auto"/>
            <w:vAlign w:val="center"/>
          </w:tcPr>
          <w:p w14:paraId="37ED41E8"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305EE3DF" w14:textId="77777777" w:rsidTr="00B847A6">
        <w:trPr>
          <w:cantSplit/>
        </w:trPr>
        <w:tc>
          <w:tcPr>
            <w:tcW w:w="3272" w:type="dxa"/>
            <w:vAlign w:val="center"/>
          </w:tcPr>
          <w:p w14:paraId="1F83F583"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Inflation risk</w:t>
            </w:r>
          </w:p>
        </w:tc>
        <w:tc>
          <w:tcPr>
            <w:tcW w:w="2790" w:type="dxa"/>
            <w:shd w:val="clear" w:color="auto" w:fill="auto"/>
            <w:vAlign w:val="center"/>
          </w:tcPr>
          <w:p w14:paraId="246E6354"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39E564F5"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3CB51B3F" w14:textId="77777777" w:rsidTr="00B847A6">
        <w:trPr>
          <w:cantSplit/>
        </w:trPr>
        <w:tc>
          <w:tcPr>
            <w:tcW w:w="3272" w:type="dxa"/>
            <w:vAlign w:val="center"/>
          </w:tcPr>
          <w:p w14:paraId="4358A5D2"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Exchange rate risk</w:t>
            </w:r>
          </w:p>
        </w:tc>
        <w:tc>
          <w:tcPr>
            <w:tcW w:w="2790" w:type="dxa"/>
            <w:shd w:val="clear" w:color="auto" w:fill="auto"/>
            <w:vAlign w:val="center"/>
          </w:tcPr>
          <w:p w14:paraId="3ADE51E4"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7DF8612E"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6BC7E54D" w14:textId="77777777" w:rsidTr="00B847A6">
        <w:trPr>
          <w:cantSplit/>
        </w:trPr>
        <w:tc>
          <w:tcPr>
            <w:tcW w:w="3272" w:type="dxa"/>
            <w:vAlign w:val="center"/>
          </w:tcPr>
          <w:p w14:paraId="0AE30B58"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Share price risk</w:t>
            </w:r>
          </w:p>
        </w:tc>
        <w:tc>
          <w:tcPr>
            <w:tcW w:w="2790" w:type="dxa"/>
            <w:shd w:val="clear" w:color="auto" w:fill="auto"/>
            <w:vAlign w:val="center"/>
          </w:tcPr>
          <w:p w14:paraId="4336DF13"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2B18A6E8"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1D094831" w14:textId="77777777" w:rsidTr="00B847A6">
        <w:trPr>
          <w:cantSplit/>
        </w:trPr>
        <w:tc>
          <w:tcPr>
            <w:tcW w:w="3272" w:type="dxa"/>
            <w:vAlign w:val="center"/>
          </w:tcPr>
          <w:p w14:paraId="6EB49EB3"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Liquidity risk</w:t>
            </w:r>
            <w:r w:rsidRPr="00EF4C58">
              <w:rPr>
                <w:rFonts w:asciiTheme="minorBidi" w:hAnsiTheme="minorBidi" w:cstheme="minorBidi"/>
                <w:sz w:val="24"/>
                <w:szCs w:val="24"/>
              </w:rPr>
              <w:fldChar w:fldCharType="begin"/>
            </w:r>
            <w:r w:rsidRPr="00EF4C58">
              <w:rPr>
                <w:rFonts w:asciiTheme="minorBidi" w:hAnsiTheme="minorBidi" w:cstheme="minorBidi"/>
                <w:sz w:val="24"/>
                <w:szCs w:val="24"/>
              </w:rPr>
              <w:instrText xml:space="preserve"> XE "Liquidity risk" </w:instrText>
            </w:r>
            <w:r w:rsidRPr="00EF4C58">
              <w:rPr>
                <w:rFonts w:asciiTheme="minorBidi" w:hAnsiTheme="minorBidi" w:cstheme="minorBidi"/>
                <w:sz w:val="24"/>
                <w:szCs w:val="24"/>
              </w:rPr>
              <w:fldChar w:fldCharType="end"/>
            </w:r>
          </w:p>
        </w:tc>
        <w:tc>
          <w:tcPr>
            <w:tcW w:w="2790" w:type="dxa"/>
            <w:shd w:val="clear" w:color="auto" w:fill="auto"/>
            <w:vAlign w:val="center"/>
          </w:tcPr>
          <w:p w14:paraId="2239303E"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06FC6DB4"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583CBF61" w14:textId="77777777" w:rsidTr="00B847A6">
        <w:trPr>
          <w:cantSplit/>
        </w:trPr>
        <w:tc>
          <w:tcPr>
            <w:tcW w:w="3272" w:type="dxa"/>
            <w:vAlign w:val="center"/>
          </w:tcPr>
          <w:p w14:paraId="08234351"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Overall effect of operational risk</w:t>
            </w:r>
          </w:p>
        </w:tc>
        <w:tc>
          <w:tcPr>
            <w:tcW w:w="2790" w:type="dxa"/>
            <w:shd w:val="clear" w:color="auto" w:fill="auto"/>
            <w:vAlign w:val="center"/>
          </w:tcPr>
          <w:p w14:paraId="4BDA20CA"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Medium</w:t>
            </w:r>
          </w:p>
        </w:tc>
        <w:tc>
          <w:tcPr>
            <w:tcW w:w="3464" w:type="dxa"/>
            <w:shd w:val="clear" w:color="auto" w:fill="auto"/>
            <w:vAlign w:val="center"/>
          </w:tcPr>
          <w:p w14:paraId="0A28BF3A"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Risks Control Division</w:t>
            </w:r>
          </w:p>
        </w:tc>
      </w:tr>
      <w:tr w:rsidR="00FC7886" w:rsidRPr="00EF4C58" w14:paraId="2340D8C7" w14:textId="77777777" w:rsidTr="00B847A6">
        <w:trPr>
          <w:cantSplit/>
        </w:trPr>
        <w:tc>
          <w:tcPr>
            <w:tcW w:w="3272" w:type="dxa"/>
            <w:vAlign w:val="center"/>
          </w:tcPr>
          <w:p w14:paraId="2D86C5A1"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Cyber and information security</w:t>
            </w:r>
          </w:p>
        </w:tc>
        <w:tc>
          <w:tcPr>
            <w:tcW w:w="2790" w:type="dxa"/>
            <w:shd w:val="clear" w:color="auto" w:fill="auto"/>
            <w:vAlign w:val="center"/>
          </w:tcPr>
          <w:p w14:paraId="26587FB7"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 xml:space="preserve">Medium </w:t>
            </w:r>
          </w:p>
        </w:tc>
        <w:tc>
          <w:tcPr>
            <w:tcW w:w="3464" w:type="dxa"/>
            <w:shd w:val="clear" w:color="auto" w:fill="auto"/>
            <w:vAlign w:val="center"/>
          </w:tcPr>
          <w:p w14:paraId="2C285B3C"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Risks Control Division</w:t>
            </w:r>
          </w:p>
        </w:tc>
      </w:tr>
    </w:tbl>
    <w:p w14:paraId="14D41F46" w14:textId="77777777" w:rsidR="000F7CC1" w:rsidRPr="00EF4C58" w:rsidRDefault="00FC7886" w:rsidP="00DF55A5">
      <w:pPr>
        <w:spacing w:before="240" w:line="360" w:lineRule="auto"/>
        <w:jc w:val="left"/>
        <w:rPr>
          <w:rFonts w:asciiTheme="minorBidi" w:hAnsiTheme="minorBidi" w:cstheme="minorBidi"/>
          <w:sz w:val="24"/>
          <w:szCs w:val="24"/>
        </w:rPr>
      </w:pPr>
      <w:r w:rsidRPr="00EF4C58">
        <w:rPr>
          <w:rFonts w:asciiTheme="minorBidi" w:hAnsiTheme="minorBidi" w:cstheme="minorBidi"/>
          <w:sz w:val="24"/>
          <w:szCs w:val="24"/>
        </w:rPr>
        <w:t xml:space="preserve">The impact of the various risks factors in the table above have been determined based on management assessment, as provided from time to time. </w:t>
      </w:r>
    </w:p>
    <w:p w14:paraId="28C08B96" w14:textId="77777777" w:rsidR="00FC7886" w:rsidRPr="00EF4C58" w:rsidRDefault="00FC7886" w:rsidP="003955A9">
      <w:pPr>
        <w:spacing w:line="360" w:lineRule="auto"/>
        <w:jc w:val="left"/>
        <w:rPr>
          <w:rFonts w:asciiTheme="minorBidi" w:hAnsiTheme="minorBidi" w:cstheme="minorBidi"/>
          <w:sz w:val="24"/>
          <w:szCs w:val="24"/>
        </w:rPr>
      </w:pPr>
      <w:r w:rsidRPr="00EF4C58">
        <w:rPr>
          <w:rFonts w:asciiTheme="minorBidi" w:hAnsiTheme="minorBidi" w:cstheme="minorBidi"/>
          <w:sz w:val="24"/>
          <w:szCs w:val="24"/>
        </w:rPr>
        <w:t>These assessments are based on monitoring of various quantitative risk benchmarks specified by the Bank, includes the expected direction of their development and are based on qualitative assessment of risks management and the effectiveness of control circles, in line with the Bank's ICAAP process and its results , led by the Bank's Risk Managers.</w:t>
      </w:r>
    </w:p>
    <w:p w14:paraId="7DB7B415" w14:textId="77777777" w:rsidR="000F7CC1" w:rsidRPr="00EF4C58" w:rsidRDefault="000D7EF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lastRenderedPageBreak/>
        <w:t xml:space="preserve">In the first quarter of 2019, the Bank's risk profile is low, similar to the risk profile at the end of 2018. </w:t>
      </w:r>
    </w:p>
    <w:p w14:paraId="0B848B7C" w14:textId="77777777" w:rsidR="000F7CC1" w:rsidRPr="00EF4C58" w:rsidRDefault="000D7EF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 xml:space="preserve">Risks with a risk level other than Low typically arise from inherent risk in Bank operations, and are in line with the specified risk appetite principles. </w:t>
      </w:r>
    </w:p>
    <w:p w14:paraId="76E7BF47" w14:textId="77777777" w:rsidR="000D7EF6" w:rsidRPr="00EF4C58" w:rsidRDefault="000D7EF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The potential loss due to unexpected events, relative to the Bank's capital and profit, is low; Bank profitability is stable, i.e. profit volatility is low and the capital cushion available to the Bank is satisfactory under stress scenarios as well.</w:t>
      </w:r>
    </w:p>
    <w:p w14:paraId="33A1FF94" w14:textId="77777777" w:rsidR="000F7CC1" w:rsidRPr="00EF4C58" w:rsidRDefault="00FC788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 xml:space="preserve">The Bank conducts processes for risk identification and measurement, </w:t>
      </w:r>
      <w:proofErr w:type="spellStart"/>
      <w:r w:rsidRPr="00EF4C58">
        <w:rPr>
          <w:rFonts w:asciiTheme="minorBidi" w:hAnsiTheme="minorBidi" w:cstheme="minorBidi"/>
          <w:sz w:val="24"/>
          <w:szCs w:val="24"/>
        </w:rPr>
        <w:t>base</w:t>
      </w:r>
      <w:proofErr w:type="spellEnd"/>
      <w:r w:rsidRPr="00EF4C58">
        <w:rPr>
          <w:rFonts w:asciiTheme="minorBidi" w:hAnsiTheme="minorBidi" w:cstheme="minorBidi"/>
          <w:sz w:val="24"/>
          <w:szCs w:val="24"/>
        </w:rPr>
        <w:t xml:space="preserve"> on a range of methodologies to assess risk levels and exposure to various risks, in the normal course of business and under stress scenarios. </w:t>
      </w:r>
    </w:p>
    <w:p w14:paraId="68D6A31C" w14:textId="77777777" w:rsidR="00FC7886" w:rsidRPr="00EF4C58" w:rsidRDefault="00FC788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The Bank applies quantitative measurement methods (models, benchmarks / indicators, scenarios and sensitivity analysis, inter alia) and qualitative measurement methods (expert assessments and surveys).</w:t>
      </w:r>
    </w:p>
    <w:p w14:paraId="0D3C5AEB" w14:textId="4B504358" w:rsidR="00FC7886" w:rsidRPr="00345EDB" w:rsidRDefault="00FC7886" w:rsidP="00345EDB">
      <w:pPr>
        <w:pStyle w:val="12-"/>
        <w:spacing w:before="120" w:after="200" w:line="240" w:lineRule="auto"/>
        <w:ind w:left="-100"/>
        <w:jc w:val="left"/>
        <w:outlineLvl w:val="9"/>
        <w:rPr>
          <w:noProof w:val="0"/>
          <w:color w:val="F4B083" w:themeColor="accent2" w:themeTint="99"/>
          <w:sz w:val="28"/>
          <w:szCs w:val="28"/>
          <w:lang w:eastAsia="en-US"/>
        </w:rPr>
      </w:pPr>
      <w:bookmarkStart w:id="6" w:name="_Toc9187304"/>
      <w:r w:rsidRPr="00345EDB">
        <w:rPr>
          <w:noProof w:val="0"/>
          <w:color w:val="F4B083" w:themeColor="accent2" w:themeTint="99"/>
          <w:sz w:val="28"/>
          <w:szCs w:val="28"/>
          <w:lang w:eastAsia="en-US"/>
        </w:rPr>
        <w:t>Summary of Bank policy on major risks and developments in the first quarter of</w:t>
      </w:r>
      <w:r w:rsidR="00E61EDB" w:rsidRPr="00345EDB">
        <w:rPr>
          <w:noProof w:val="0"/>
          <w:color w:val="F4B083" w:themeColor="accent2" w:themeTint="99"/>
          <w:sz w:val="28"/>
          <w:szCs w:val="28"/>
          <w:lang w:eastAsia="en-US"/>
        </w:rPr>
        <w:t> </w:t>
      </w:r>
      <w:r w:rsidRPr="00345EDB">
        <w:rPr>
          <w:noProof w:val="0"/>
          <w:color w:val="F4B083" w:themeColor="accent2" w:themeTint="99"/>
          <w:sz w:val="28"/>
          <w:szCs w:val="28"/>
          <w:lang w:eastAsia="en-US"/>
        </w:rPr>
        <w:t>2019</w:t>
      </w:r>
      <w:bookmarkEnd w:id="6"/>
    </w:p>
    <w:p w14:paraId="5F789281" w14:textId="77777777" w:rsidR="001F7CE4" w:rsidRPr="00E7121F" w:rsidRDefault="001F7CE4" w:rsidP="00214E63">
      <w:pPr>
        <w:spacing w:before="160" w:after="120" w:line="360" w:lineRule="auto"/>
        <w:rPr>
          <w:rFonts w:asciiTheme="minorBidi" w:hAnsiTheme="minorBidi" w:cstheme="minorBidi"/>
          <w:b/>
          <w:bCs/>
          <w:sz w:val="24"/>
          <w:szCs w:val="24"/>
        </w:rPr>
      </w:pPr>
      <w:r w:rsidRPr="00E7121F">
        <w:rPr>
          <w:rFonts w:asciiTheme="minorBidi" w:hAnsiTheme="minorBidi" w:cstheme="minorBidi"/>
          <w:b/>
          <w:bCs/>
          <w:sz w:val="24"/>
          <w:szCs w:val="24"/>
        </w:rPr>
        <w:t>Forward-Looking Information – Strategic plan</w:t>
      </w:r>
    </w:p>
    <w:p w14:paraId="2F99545A" w14:textId="77777777" w:rsidR="000F7CC1" w:rsidRPr="00E7121F" w:rsidRDefault="00880FB0" w:rsidP="00214E63">
      <w:pPr>
        <w:spacing w:before="40" w:line="360" w:lineRule="auto"/>
        <w:rPr>
          <w:rFonts w:asciiTheme="minorBidi" w:hAnsiTheme="minorBidi" w:cstheme="minorBidi"/>
          <w:spacing w:val="-4"/>
          <w:sz w:val="24"/>
          <w:szCs w:val="24"/>
        </w:rPr>
      </w:pPr>
      <w:r w:rsidRPr="00E7121F">
        <w:rPr>
          <w:rFonts w:asciiTheme="minorBidi" w:hAnsiTheme="minorBidi" w:cstheme="minorBidi"/>
          <w:spacing w:val="-4"/>
          <w:sz w:val="24"/>
          <w:szCs w:val="24"/>
        </w:rPr>
        <w:t>In 2018, the Bank Board of Directors has not declared any dividends</w:t>
      </w:r>
      <w:r w:rsidR="00845C45" w:rsidRPr="00E7121F">
        <w:rPr>
          <w:rFonts w:asciiTheme="minorBidi" w:hAnsiTheme="minorBidi" w:cstheme="minorBidi"/>
          <w:spacing w:val="-4"/>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dividends</w:instrText>
      </w:r>
      <w:r w:rsidR="00845C45" w:rsidRPr="00E7121F">
        <w:rPr>
          <w:sz w:val="24"/>
          <w:szCs w:val="24"/>
        </w:rPr>
        <w:instrText xml:space="preserve">" </w:instrText>
      </w:r>
      <w:r w:rsidR="00845C45" w:rsidRPr="00E7121F">
        <w:rPr>
          <w:rFonts w:asciiTheme="minorBidi" w:hAnsiTheme="minorBidi" w:cstheme="minorBidi"/>
          <w:spacing w:val="-4"/>
          <w:sz w:val="24"/>
          <w:szCs w:val="24"/>
        </w:rPr>
        <w:fldChar w:fldCharType="end"/>
      </w:r>
      <w:r w:rsidRPr="00E7121F">
        <w:rPr>
          <w:rFonts w:asciiTheme="minorBidi" w:hAnsiTheme="minorBidi" w:cstheme="minorBidi"/>
          <w:spacing w:val="-4"/>
          <w:sz w:val="24"/>
          <w:szCs w:val="24"/>
        </w:rPr>
        <w:t xml:space="preserve"> with respect to earnings in the second, third and fourth quarters of 2018, following developments in the investigation by the US DOJ, including the signing of a DPA agreement, dated March 12, 2019, with the US DOJ to conclude the investigation into the Bank Group's business with its US clients. </w:t>
      </w:r>
    </w:p>
    <w:p w14:paraId="2845D358" w14:textId="77777777" w:rsidR="00880FB0" w:rsidRPr="00E7121F" w:rsidRDefault="00880FB0"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For more information see Note 26.C.12 to the 2018 financial statements.</w:t>
      </w:r>
      <w:r w:rsidRPr="00E7121F">
        <w:rPr>
          <w:rFonts w:asciiTheme="minorBidi" w:hAnsiTheme="minorBidi" w:cstheme="minorBidi"/>
          <w:sz w:val="24"/>
          <w:szCs w:val="24"/>
        </w:rPr>
        <w:fldChar w:fldCharType="begin"/>
      </w:r>
      <w:r w:rsidRPr="00E7121F">
        <w:rPr>
          <w:rFonts w:asciiTheme="minorBidi" w:hAnsiTheme="minorBidi" w:cstheme="minorBidi"/>
          <w:sz w:val="24"/>
          <w:szCs w:val="24"/>
        </w:rPr>
        <w:instrText xml:space="preserve"> XE "</w:instrText>
      </w:r>
      <w:r w:rsidRPr="00E7121F">
        <w:rPr>
          <w:rFonts w:asciiTheme="minorBidi" w:eastAsia="Joker" w:hAnsiTheme="minorBidi"/>
          <w:sz w:val="24"/>
          <w:szCs w:val="24"/>
          <w:rtl/>
        </w:rPr>
        <w:instrText>דיבידנד</w:instrText>
      </w:r>
      <w:r w:rsidR="001848FF" w:rsidRPr="00E7121F">
        <w:rPr>
          <w:rFonts w:asciiTheme="minorBidi" w:eastAsia="Joker" w:hAnsiTheme="minorBidi" w:cstheme="minorBidi"/>
          <w:sz w:val="24"/>
          <w:szCs w:val="24"/>
        </w:rPr>
        <w:fldChar w:fldCharType="begin"/>
      </w:r>
      <w:r w:rsidR="001848FF" w:rsidRPr="00E7121F">
        <w:rPr>
          <w:rFonts w:asciiTheme="minorBidi" w:hAnsiTheme="minorBidi" w:cstheme="minorBidi"/>
          <w:sz w:val="24"/>
          <w:szCs w:val="24"/>
        </w:rPr>
        <w:instrText xml:space="preserve"> XE "Capital" </w:instrText>
      </w:r>
      <w:r w:rsidR="001848FF" w:rsidRPr="00E7121F">
        <w:rPr>
          <w:rFonts w:asciiTheme="minorBidi" w:eastAsia="Joker" w:hAnsiTheme="minorBidi" w:cstheme="minorBidi"/>
          <w:sz w:val="24"/>
          <w:szCs w:val="24"/>
        </w:rPr>
        <w:fldChar w:fldCharType="end"/>
      </w:r>
      <w:r w:rsidRPr="00E7121F">
        <w:rPr>
          <w:rFonts w:asciiTheme="minorBidi" w:hAnsiTheme="minorBidi" w:cstheme="minorBidi"/>
          <w:sz w:val="24"/>
          <w:szCs w:val="24"/>
        </w:rPr>
        <w:instrText xml:space="preserve">" </w:instrText>
      </w:r>
      <w:r w:rsidRPr="00E7121F">
        <w:rPr>
          <w:rFonts w:asciiTheme="minorBidi" w:hAnsiTheme="minorBidi" w:cstheme="minorBidi"/>
          <w:sz w:val="24"/>
          <w:szCs w:val="24"/>
        </w:rPr>
        <w:fldChar w:fldCharType="end"/>
      </w:r>
    </w:p>
    <w:p w14:paraId="19C997DC" w14:textId="77777777" w:rsidR="00880FB0" w:rsidRPr="00E7121F" w:rsidRDefault="00880FB0" w:rsidP="00214E63">
      <w:pPr>
        <w:spacing w:line="360" w:lineRule="auto"/>
        <w:rPr>
          <w:rFonts w:asciiTheme="minorBidi" w:hAnsiTheme="minorBidi" w:cstheme="minorBidi"/>
          <w:sz w:val="24"/>
          <w:szCs w:val="24"/>
        </w:rPr>
      </w:pPr>
      <w:r w:rsidRPr="00E7121F">
        <w:rPr>
          <w:rFonts w:asciiTheme="minorBidi" w:hAnsiTheme="minorBidi" w:cstheme="minorBidi"/>
          <w:sz w:val="24"/>
          <w:szCs w:val="24"/>
        </w:rPr>
        <w:t>The Bank’s Board of Directors, upon approving the signing of the agreement by the Bank, estimated that the Bank can achieve the outline for the five-year strategic plan for 2017-2021.</w:t>
      </w:r>
    </w:p>
    <w:p w14:paraId="15ED651C" w14:textId="4F4CAAF4" w:rsidR="009E65C1" w:rsidRDefault="00880FB0" w:rsidP="009E65C1">
      <w:pPr>
        <w:spacing w:line="360" w:lineRule="auto"/>
        <w:rPr>
          <w:rFonts w:asciiTheme="minorBidi" w:hAnsiTheme="minorBidi" w:cstheme="minorBidi"/>
          <w:b/>
          <w:bCs/>
          <w:sz w:val="24"/>
          <w:szCs w:val="24"/>
        </w:rPr>
      </w:pPr>
      <w:r w:rsidRPr="00E7121F">
        <w:rPr>
          <w:rFonts w:asciiTheme="minorBidi" w:hAnsiTheme="minorBidi" w:cstheme="minorBidi"/>
          <w:sz w:val="24"/>
          <w:szCs w:val="24"/>
        </w:rPr>
        <w:t>The Board of Directors further estimated at that time that in 2019, the Bank could resume acting in conformity with its policy of distributing dividends</w:t>
      </w:r>
      <w:r w:rsidR="00845C45" w:rsidRPr="00E7121F">
        <w:rPr>
          <w:rFonts w:asciiTheme="minorBidi" w:hAnsiTheme="minorBidi" w:cstheme="minorBidi"/>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dividends</w:instrText>
      </w:r>
      <w:r w:rsidR="00845C45" w:rsidRPr="00E7121F">
        <w:rPr>
          <w:sz w:val="24"/>
          <w:szCs w:val="24"/>
        </w:rPr>
        <w:instrText xml:space="preserve">" </w:instrText>
      </w:r>
      <w:r w:rsidR="00845C45" w:rsidRPr="00E7121F">
        <w:rPr>
          <w:rFonts w:asciiTheme="minorBidi" w:hAnsiTheme="minorBidi" w:cstheme="minorBidi"/>
          <w:sz w:val="24"/>
          <w:szCs w:val="24"/>
        </w:rPr>
        <w:fldChar w:fldCharType="end"/>
      </w:r>
      <w:r w:rsidRPr="00E7121F">
        <w:rPr>
          <w:rFonts w:asciiTheme="minorBidi" w:hAnsiTheme="minorBidi" w:cstheme="minorBidi"/>
          <w:sz w:val="24"/>
          <w:szCs w:val="24"/>
        </w:rPr>
        <w:t>, subject to terms and conditions prescribed in the strategic plan, including compliance with statutory requirements and limits stipulated by the Supervisor of Banks.</w:t>
      </w:r>
      <w:r w:rsidR="009E65C1">
        <w:rPr>
          <w:rFonts w:asciiTheme="minorBidi" w:hAnsiTheme="minorBidi" w:cstheme="minorBidi"/>
          <w:b/>
          <w:bCs/>
          <w:sz w:val="24"/>
          <w:szCs w:val="24"/>
        </w:rPr>
        <w:br w:type="page"/>
      </w:r>
    </w:p>
    <w:p w14:paraId="009274D1" w14:textId="16249ED1" w:rsidR="000D7EF6" w:rsidRPr="00E7121F" w:rsidRDefault="000D7EF6" w:rsidP="00F6277F">
      <w:pPr>
        <w:spacing w:before="200" w:after="100"/>
        <w:rPr>
          <w:rFonts w:asciiTheme="minorBidi" w:hAnsiTheme="minorBidi" w:cstheme="minorBidi"/>
          <w:b/>
          <w:bCs/>
          <w:sz w:val="24"/>
          <w:szCs w:val="24"/>
        </w:rPr>
      </w:pPr>
      <w:r w:rsidRPr="00E7121F">
        <w:rPr>
          <w:rFonts w:asciiTheme="minorBidi" w:hAnsiTheme="minorBidi" w:cstheme="minorBidi"/>
          <w:b/>
          <w:bCs/>
          <w:sz w:val="24"/>
          <w:szCs w:val="24"/>
        </w:rPr>
        <w:lastRenderedPageBreak/>
        <w:t>Credit risk</w:t>
      </w:r>
      <w:r w:rsidR="00845C45" w:rsidRPr="00E7121F">
        <w:rPr>
          <w:rFonts w:asciiTheme="minorBidi" w:hAnsiTheme="minorBidi" w:cstheme="minorBidi"/>
          <w:b/>
          <w:bCs/>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Credit risk</w:instrText>
      </w:r>
      <w:r w:rsidR="00845C45" w:rsidRPr="00E7121F">
        <w:rPr>
          <w:sz w:val="24"/>
          <w:szCs w:val="24"/>
        </w:rPr>
        <w:instrText xml:space="preserve">" </w:instrText>
      </w:r>
      <w:r w:rsidR="00845C45" w:rsidRPr="00E7121F">
        <w:rPr>
          <w:rFonts w:asciiTheme="minorBidi" w:hAnsiTheme="minorBidi" w:cstheme="minorBidi"/>
          <w:b/>
          <w:bCs/>
          <w:sz w:val="24"/>
          <w:szCs w:val="24"/>
        </w:rPr>
        <w:fldChar w:fldCharType="end"/>
      </w:r>
      <w:r w:rsidRPr="00E7121F">
        <w:rPr>
          <w:rFonts w:asciiTheme="minorBidi" w:hAnsiTheme="minorBidi" w:cstheme="minorBidi"/>
          <w:b/>
          <w:bCs/>
          <w:sz w:val="24"/>
          <w:szCs w:val="24"/>
        </w:rPr>
        <w:t xml:space="preserve"> </w:t>
      </w:r>
    </w:p>
    <w:p w14:paraId="0D981420" w14:textId="77777777" w:rsidR="000F7CC1" w:rsidRPr="00E7121F" w:rsidRDefault="000D7EF6" w:rsidP="00214E63">
      <w:pPr>
        <w:spacing w:before="40" w:line="360" w:lineRule="auto"/>
        <w:rPr>
          <w:rFonts w:asciiTheme="minorBidi" w:hAnsiTheme="minorBidi" w:cstheme="minorBidi"/>
          <w:spacing w:val="-6"/>
          <w:sz w:val="24"/>
          <w:szCs w:val="24"/>
        </w:rPr>
      </w:pPr>
      <w:r w:rsidRPr="00E7121F">
        <w:rPr>
          <w:rFonts w:asciiTheme="minorBidi" w:hAnsiTheme="minorBidi" w:cstheme="minorBidi"/>
          <w:spacing w:val="-6"/>
          <w:sz w:val="24"/>
          <w:szCs w:val="24"/>
        </w:rPr>
        <w:t xml:space="preserve">Business loans are managed using a range of risk benchmarks and its risk level is low-medium. </w:t>
      </w:r>
    </w:p>
    <w:p w14:paraId="1E48CAD2" w14:textId="77777777" w:rsidR="000F7CC1" w:rsidRPr="00E7121F" w:rsidRDefault="000D7EF6" w:rsidP="00214E63">
      <w:pPr>
        <w:spacing w:before="40" w:line="360" w:lineRule="auto"/>
        <w:rPr>
          <w:rFonts w:asciiTheme="minorBidi" w:hAnsiTheme="minorBidi" w:cstheme="minorBidi"/>
          <w:spacing w:val="-6"/>
          <w:sz w:val="24"/>
          <w:szCs w:val="24"/>
        </w:rPr>
      </w:pPr>
      <w:r w:rsidRPr="00E7121F">
        <w:rPr>
          <w:rFonts w:asciiTheme="minorBidi" w:hAnsiTheme="minorBidi" w:cstheme="minorBidi"/>
          <w:spacing w:val="-6"/>
          <w:sz w:val="24"/>
          <w:szCs w:val="24"/>
        </w:rPr>
        <w:t xml:space="preserve">The Bank has the business. legal and operating infrastructure for flexible management of credit risk by selling and/or sharing risk. </w:t>
      </w:r>
    </w:p>
    <w:p w14:paraId="6999AC4C" w14:textId="77777777" w:rsidR="000D7EF6"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In the first quarter of 2019, there were no deviations from risk limits, and the Bank is acting and constantly reviewing the risk profile and limits, in line with the scope of operations and risk.</w:t>
      </w:r>
    </w:p>
    <w:p w14:paraId="4773C52D"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Housing loans carry a significant weight out of total credit risk of the Bank; however, the overall risk level in the mortgage portfolio is low. </w:t>
      </w:r>
    </w:p>
    <w:p w14:paraId="3F601E2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This area typically has a widely diversified borrower base from different economic sectors</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economic sectors</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with relatively low LTV ratios and extensive geographic diversification of pledged properties. </w:t>
      </w:r>
    </w:p>
    <w:p w14:paraId="65725B1E" w14:textId="77777777" w:rsidR="000F7CC1" w:rsidRPr="00E7121F" w:rsidRDefault="000D7EF6" w:rsidP="00214E63">
      <w:pPr>
        <w:spacing w:before="40" w:line="360" w:lineRule="auto"/>
        <w:rPr>
          <w:rFonts w:asciiTheme="minorBidi" w:hAnsiTheme="minorBidi" w:cstheme="minorBidi"/>
          <w:spacing w:val="-3"/>
          <w:sz w:val="24"/>
          <w:szCs w:val="24"/>
        </w:rPr>
      </w:pPr>
      <w:r w:rsidRPr="00E7121F">
        <w:rPr>
          <w:rFonts w:asciiTheme="minorBidi" w:hAnsiTheme="minorBidi" w:cstheme="minorBidi"/>
          <w:spacing w:val="-3"/>
          <w:sz w:val="24"/>
          <w:szCs w:val="24"/>
        </w:rPr>
        <w:t xml:space="preserve">The Bank also uses various risk mitigators, including property insurance and life insurance. </w:t>
      </w:r>
    </w:p>
    <w:p w14:paraId="6F1E85A2" w14:textId="77777777" w:rsidR="000F7CC1" w:rsidRPr="00E7121F" w:rsidRDefault="000D7EF6" w:rsidP="00214E63">
      <w:pPr>
        <w:spacing w:before="40" w:line="360" w:lineRule="auto"/>
        <w:rPr>
          <w:rFonts w:asciiTheme="minorBidi" w:hAnsiTheme="minorBidi" w:cstheme="minorBidi"/>
          <w:spacing w:val="-3"/>
          <w:sz w:val="24"/>
          <w:szCs w:val="24"/>
        </w:rPr>
      </w:pPr>
      <w:r w:rsidRPr="00E7121F">
        <w:rPr>
          <w:rFonts w:asciiTheme="minorBidi" w:hAnsiTheme="minorBidi" w:cstheme="minorBidi"/>
          <w:spacing w:val="-3"/>
          <w:sz w:val="24"/>
          <w:szCs w:val="24"/>
        </w:rPr>
        <w:t xml:space="preserve">In the first quarter of this year, key risk benchmarks remained stable: In particular: LTV ratio (original LTV ratio in the portfolio: 52.5%), repayment ratio, rate of </w:t>
      </w:r>
      <w:proofErr w:type="spellStart"/>
      <w:r w:rsidRPr="00E7121F">
        <w:rPr>
          <w:rFonts w:asciiTheme="minorBidi" w:hAnsiTheme="minorBidi" w:cstheme="minorBidi"/>
          <w:spacing w:val="-3"/>
          <w:sz w:val="24"/>
          <w:szCs w:val="24"/>
        </w:rPr>
        <w:t>obligo</w:t>
      </w:r>
      <w:proofErr w:type="spellEnd"/>
      <w:r w:rsidRPr="00E7121F">
        <w:rPr>
          <w:rFonts w:asciiTheme="minorBidi" w:hAnsiTheme="minorBidi" w:cstheme="minorBidi"/>
          <w:spacing w:val="-3"/>
          <w:sz w:val="24"/>
          <w:szCs w:val="24"/>
        </w:rPr>
        <w:t xml:space="preserve"> in default; rate of arrears for new loans (up to one year since origination). </w:t>
      </w:r>
    </w:p>
    <w:p w14:paraId="00F97BBC" w14:textId="77777777" w:rsidR="000D7EF6" w:rsidRPr="00E7121F" w:rsidRDefault="003E5407"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Furthermore, the rate of arrears for new loans (up to one year since origination) has been low in recent years.</w:t>
      </w:r>
    </w:p>
    <w:p w14:paraId="7E0C93B7"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Credit risk</w:t>
      </w:r>
      <w:r w:rsidR="00845C45" w:rsidRPr="00E7121F">
        <w:rPr>
          <w:rFonts w:asciiTheme="minorBidi" w:hAnsiTheme="minorBidi" w:cstheme="minorBidi"/>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Credit risk</w:instrText>
      </w:r>
      <w:r w:rsidR="00845C45" w:rsidRPr="00E7121F">
        <w:rPr>
          <w:sz w:val="24"/>
          <w:szCs w:val="24"/>
        </w:rPr>
        <w:instrText xml:space="preserve">" </w:instrText>
      </w:r>
      <w:r w:rsidR="00845C45"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in the capital market is the risk of the borrower failing to meet their obligations towards the Bank, including the obligation to cover losses due to capital market activity conducted through the Bank. </w:t>
      </w:r>
    </w:p>
    <w:p w14:paraId="438BCB11" w14:textId="77777777" w:rsidR="000D7EF6"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The scope of business and risk level at the Bank in this area are low.</w:t>
      </w:r>
    </w:p>
    <w:p w14:paraId="64FA2CA8"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Loans in the micro and small business segment are a key growth engine and a component of the Bank's strategic plan. </w:t>
      </w:r>
    </w:p>
    <w:p w14:paraId="6C900EEE" w14:textId="77777777" w:rsidR="000F7CC1" w:rsidRPr="00E7121F" w:rsidRDefault="002C0B90"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This segment is highly diversified in terms of clients in various economic sectors</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economic sectors</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mostly in small industry, trade, business and financial services. </w:t>
      </w:r>
    </w:p>
    <w:p w14:paraId="6D99C1DC" w14:textId="77777777" w:rsidR="000F7CC1" w:rsidRPr="00E7121F" w:rsidRDefault="000D7EF6" w:rsidP="00214E63">
      <w:pPr>
        <w:spacing w:before="40" w:line="360" w:lineRule="auto"/>
        <w:rPr>
          <w:rFonts w:asciiTheme="minorBidi" w:hAnsiTheme="minorBidi" w:cstheme="minorBidi"/>
          <w:spacing w:val="-4"/>
          <w:sz w:val="24"/>
          <w:szCs w:val="24"/>
        </w:rPr>
      </w:pPr>
      <w:r w:rsidRPr="00E7121F">
        <w:rPr>
          <w:rFonts w:asciiTheme="minorBidi" w:hAnsiTheme="minorBidi" w:cstheme="minorBidi"/>
          <w:spacing w:val="-4"/>
          <w:sz w:val="24"/>
          <w:szCs w:val="24"/>
        </w:rPr>
        <w:lastRenderedPageBreak/>
        <w:t>Financing in the micro and small business segment is mostly provided for short terms, for current operations and for financing of working capital, covering gaps in cash flow, financing</w:t>
      </w:r>
      <w:r w:rsidRPr="00E7121F">
        <w:rPr>
          <w:rFonts w:asciiTheme="minorBidi" w:hAnsiTheme="minorBidi" w:cstheme="minorBidi"/>
          <w:spacing w:val="-4"/>
          <w:sz w:val="24"/>
          <w:szCs w:val="24"/>
        </w:rPr>
        <w:fldChar w:fldCharType="begin"/>
      </w:r>
      <w:r w:rsidRPr="00E7121F">
        <w:rPr>
          <w:rFonts w:asciiTheme="minorBidi" w:hAnsiTheme="minorBidi" w:cstheme="minorBidi"/>
          <w:spacing w:val="-4"/>
          <w:sz w:val="24"/>
          <w:szCs w:val="24"/>
        </w:rPr>
        <w:instrText xml:space="preserve"> XE "Financing" </w:instrText>
      </w:r>
      <w:r w:rsidRPr="00E7121F">
        <w:rPr>
          <w:rFonts w:asciiTheme="minorBidi" w:hAnsiTheme="minorBidi" w:cstheme="minorBidi"/>
          <w:spacing w:val="-4"/>
          <w:sz w:val="24"/>
          <w:szCs w:val="24"/>
        </w:rPr>
        <w:fldChar w:fldCharType="end"/>
      </w:r>
      <w:r w:rsidRPr="00E7121F">
        <w:rPr>
          <w:rFonts w:asciiTheme="minorBidi" w:hAnsiTheme="minorBidi" w:cstheme="minorBidi"/>
          <w:spacing w:val="-4"/>
          <w:sz w:val="24"/>
          <w:szCs w:val="24"/>
        </w:rPr>
        <w:t xml:space="preserve"> trade receivables, inventory and import activities. </w:t>
      </w:r>
    </w:p>
    <w:p w14:paraId="3EAF0970"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Such financing is provided against appropriate collateral, such as checks for collateral / checks receivable, invoices, pledging of contracts and current liens. </w:t>
      </w:r>
    </w:p>
    <w:p w14:paraId="5C09D28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The risk level in the credit portfolio for small and micro-businesses is constantly monitored, including use of custom credit rating models and monitoring of high-risk economic sectors</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economic sectors</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w:t>
      </w:r>
    </w:p>
    <w:p w14:paraId="7FDF1BE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In the first quarter of 2019, the Bank continued development of computer-based processes for credit applications and a model to determine differential interest authorizations. </w:t>
      </w:r>
    </w:p>
    <w:p w14:paraId="2D3F2F7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Loans to the individual client segment are highly diversified – by number of clients and by geographic location. </w:t>
      </w:r>
    </w:p>
    <w:p w14:paraId="6C0D8089"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Most clients in this segment are salaried employees with an individual account or joint household account. </w:t>
      </w:r>
    </w:p>
    <w:p w14:paraId="5D08F577"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A recession in non-banking operations is a major risk factor for household activity and higher unemployment may increase the number of clients who face difficulties. </w:t>
      </w:r>
    </w:p>
    <w:p w14:paraId="3BBDAD13"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As from the second half of 2018, clients of the Retail Division are rated using advanced custom models. </w:t>
      </w:r>
    </w:p>
    <w:p w14:paraId="76A57962"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These models quantify the probability of default (PD) and the loss given default (LGD) for small businesses and individual clients of the Retail Division. </w:t>
      </w:r>
    </w:p>
    <w:p w14:paraId="452E8961"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Current management at the Retail Division is primarily based on the MADHOM system (for client management, rating and pricing). </w:t>
      </w:r>
    </w:p>
    <w:p w14:paraId="255933EB"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In the first quarter of 2019, the Bank continued to deploy, implement and use advanced models under development for optimal analysis and management of retail credit. </w:t>
      </w:r>
    </w:p>
    <w:p w14:paraId="6A298480"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 credit risk profile of individual clients, in view of the risk appetite determined based also on the internal model, shows a risk level which is not high and stable over time. </w:t>
      </w:r>
    </w:p>
    <w:p w14:paraId="04937B95" w14:textId="77777777" w:rsidR="009E65C1" w:rsidRDefault="009E65C1">
      <w:pPr>
        <w:spacing w:after="160" w:line="259" w:lineRule="auto"/>
        <w:ind w:left="0" w:right="0"/>
        <w:jc w:val="left"/>
        <w:rPr>
          <w:rFonts w:asciiTheme="minorBidi" w:hAnsiTheme="minorBidi" w:cstheme="minorBidi"/>
          <w:b/>
          <w:bCs/>
          <w:sz w:val="24"/>
          <w:szCs w:val="24"/>
        </w:rPr>
      </w:pPr>
      <w:r>
        <w:rPr>
          <w:rFonts w:asciiTheme="minorBidi" w:hAnsiTheme="minorBidi" w:cstheme="minorBidi"/>
          <w:b/>
          <w:bCs/>
          <w:sz w:val="24"/>
          <w:szCs w:val="24"/>
        </w:rPr>
        <w:br w:type="page"/>
      </w:r>
    </w:p>
    <w:p w14:paraId="39D02407" w14:textId="4B472CEE" w:rsidR="000D7EF6" w:rsidRPr="00E7121F" w:rsidRDefault="000D7EF6" w:rsidP="00F6277F">
      <w:pPr>
        <w:spacing w:before="160" w:after="100"/>
        <w:rPr>
          <w:rFonts w:asciiTheme="minorBidi" w:hAnsiTheme="minorBidi" w:cstheme="minorBidi"/>
          <w:b/>
          <w:bCs/>
          <w:sz w:val="24"/>
          <w:szCs w:val="24"/>
        </w:rPr>
      </w:pPr>
      <w:r w:rsidRPr="00E7121F">
        <w:rPr>
          <w:rFonts w:asciiTheme="minorBidi" w:hAnsiTheme="minorBidi" w:cstheme="minorBidi"/>
          <w:b/>
          <w:bCs/>
          <w:sz w:val="24"/>
          <w:szCs w:val="24"/>
        </w:rPr>
        <w:lastRenderedPageBreak/>
        <w:t>Market and interest risk</w:t>
      </w:r>
      <w:r w:rsidR="00D757CA" w:rsidRPr="00E7121F">
        <w:rPr>
          <w:rFonts w:asciiTheme="minorBidi" w:hAnsiTheme="minorBidi" w:cstheme="minorBidi"/>
          <w:b/>
          <w:bCs/>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interest risk</w:instrText>
      </w:r>
      <w:r w:rsidR="00D757CA" w:rsidRPr="00E7121F">
        <w:rPr>
          <w:sz w:val="24"/>
          <w:szCs w:val="24"/>
        </w:rPr>
        <w:instrText xml:space="preserve">" </w:instrText>
      </w:r>
      <w:r w:rsidR="00D757CA" w:rsidRPr="00E7121F">
        <w:rPr>
          <w:rFonts w:asciiTheme="minorBidi" w:hAnsiTheme="minorBidi" w:cstheme="minorBidi"/>
          <w:b/>
          <w:bCs/>
          <w:sz w:val="24"/>
          <w:szCs w:val="24"/>
        </w:rPr>
        <w:fldChar w:fldCharType="end"/>
      </w:r>
      <w:r w:rsidRPr="00E7121F">
        <w:rPr>
          <w:rFonts w:asciiTheme="minorBidi" w:hAnsiTheme="minorBidi" w:cstheme="minorBidi"/>
          <w:b/>
          <w:bCs/>
          <w:sz w:val="24"/>
          <w:szCs w:val="24"/>
        </w:rPr>
        <w:t xml:space="preserve"> in the bank portfolio</w:t>
      </w:r>
    </w:p>
    <w:p w14:paraId="0102FF55"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Activity in the negotiable portfolio (portfolios managed by the trading room) is low, with most of the Bank's financial activity and risk associated with the banking portfolio. </w:t>
      </w:r>
    </w:p>
    <w:p w14:paraId="6B0A0AB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 Bank's banking portfolio mostly includes long-term uses (mortgages), against which the Bank raises resources which may be short-term. </w:t>
      </w:r>
    </w:p>
    <w:p w14:paraId="7B4ACA9A"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 portfolio structure exposes the Bank EV to erosion in case of rising interest rates. </w:t>
      </w:r>
    </w:p>
    <w:p w14:paraId="7F4B6882"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In 2018, the Bank conducted an extensive review of the risk estimation methodology, in line with common practice for application of Basel guidelines. </w:t>
      </w:r>
    </w:p>
    <w:p w14:paraId="0AF53918"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Consequently, Bank policy, including measurement methods and the resulting risk limits, was significantly revised downwards in the first quarter of 2019, so as to more reliably reflect the interest exposure, including dynamic effects of behavioral options inherent in the mortgage portfolio and in deposits, which are dependent on interest. </w:t>
      </w:r>
    </w:p>
    <w:p w14:paraId="7C9BF68D"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In the first quarter of this year, the overall risk level remained Low-Medium (the interest risk</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interest risk</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level remained Medium). </w:t>
      </w:r>
    </w:p>
    <w:p w14:paraId="064E7F34"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Risk benchmark values were calculated in conformity with the revision to the methodology in the policy and were in line with limits imposed by management and by the Board of Directors. </w:t>
      </w:r>
    </w:p>
    <w:p w14:paraId="0C72AAA9" w14:textId="77777777" w:rsidR="000D7EF6" w:rsidRPr="00E7121F" w:rsidRDefault="000D7EF6" w:rsidP="00214E63">
      <w:pPr>
        <w:spacing w:before="40" w:line="360" w:lineRule="auto"/>
        <w:rPr>
          <w:rFonts w:asciiTheme="minorBidi" w:hAnsiTheme="minorBidi" w:cstheme="minorBidi"/>
          <w:spacing w:val="-4"/>
          <w:sz w:val="24"/>
          <w:szCs w:val="24"/>
        </w:rPr>
      </w:pPr>
      <w:r w:rsidRPr="00E7121F">
        <w:rPr>
          <w:rFonts w:asciiTheme="minorBidi" w:hAnsiTheme="minorBidi" w:cstheme="minorBidi"/>
          <w:sz w:val="24"/>
          <w:szCs w:val="24"/>
        </w:rPr>
        <w:t xml:space="preserve">In the normal course of business, risk values (such as </w:t>
      </w:r>
      <w:proofErr w:type="spellStart"/>
      <w:r w:rsidRPr="00E7121F">
        <w:rPr>
          <w:rFonts w:asciiTheme="minorBidi" w:hAnsiTheme="minorBidi" w:cstheme="minorBidi"/>
          <w:sz w:val="24"/>
          <w:szCs w:val="24"/>
        </w:rPr>
        <w:t>VaR</w:t>
      </w:r>
      <w:proofErr w:type="spellEnd"/>
      <w:r w:rsidRPr="00E7121F">
        <w:rPr>
          <w:rFonts w:asciiTheme="minorBidi" w:hAnsiTheme="minorBidi" w:cstheme="minorBidi"/>
          <w:sz w:val="24"/>
          <w:szCs w:val="24"/>
        </w:rPr>
        <w:t xml:space="preserve">) ranged at relatively low risk levels and risk values under </w:t>
      </w:r>
      <w:r w:rsidRPr="00E7121F">
        <w:rPr>
          <w:rFonts w:asciiTheme="minorBidi" w:hAnsiTheme="minorBidi" w:cstheme="minorBidi"/>
          <w:spacing w:val="-4"/>
          <w:sz w:val="24"/>
          <w:szCs w:val="24"/>
        </w:rPr>
        <w:t>stress scenarios, which reflect extreme concurrent increase in interest rates, are lower than the current risk appetite specified.</w:t>
      </w:r>
    </w:p>
    <w:p w14:paraId="6A7C1338" w14:textId="77777777" w:rsidR="009E65C1" w:rsidRDefault="009E65C1">
      <w:pPr>
        <w:spacing w:after="160" w:line="259" w:lineRule="auto"/>
        <w:ind w:left="0" w:right="0"/>
        <w:jc w:val="left"/>
        <w:rPr>
          <w:rFonts w:asciiTheme="minorBidi" w:hAnsiTheme="minorBidi" w:cstheme="minorBidi"/>
          <w:b/>
          <w:bCs/>
          <w:sz w:val="24"/>
          <w:szCs w:val="24"/>
        </w:rPr>
      </w:pPr>
      <w:r>
        <w:rPr>
          <w:rFonts w:asciiTheme="minorBidi" w:hAnsiTheme="minorBidi" w:cstheme="minorBidi"/>
          <w:b/>
          <w:bCs/>
          <w:sz w:val="24"/>
          <w:szCs w:val="24"/>
        </w:rPr>
        <w:br w:type="page"/>
      </w:r>
    </w:p>
    <w:p w14:paraId="2609D4C9" w14:textId="28F8C3CB" w:rsidR="000D7EF6" w:rsidRPr="00E7121F" w:rsidRDefault="000D7EF6" w:rsidP="00F6277F">
      <w:pPr>
        <w:spacing w:before="140" w:after="100"/>
        <w:rPr>
          <w:rFonts w:asciiTheme="minorBidi" w:hAnsiTheme="minorBidi" w:cstheme="minorBidi"/>
          <w:b/>
          <w:bCs/>
          <w:sz w:val="24"/>
          <w:szCs w:val="24"/>
        </w:rPr>
      </w:pPr>
      <w:r w:rsidRPr="00E7121F">
        <w:rPr>
          <w:rFonts w:asciiTheme="minorBidi" w:hAnsiTheme="minorBidi" w:cstheme="minorBidi"/>
          <w:b/>
          <w:bCs/>
          <w:sz w:val="24"/>
          <w:szCs w:val="24"/>
        </w:rPr>
        <w:lastRenderedPageBreak/>
        <w:t>Liquidity risk</w:t>
      </w:r>
    </w:p>
    <w:p w14:paraId="6234F01E" w14:textId="77777777" w:rsidR="000F7CC1" w:rsidRPr="00E7121F" w:rsidRDefault="000D7EF6" w:rsidP="00214E63">
      <w:pPr>
        <w:spacing w:before="40" w:line="360" w:lineRule="auto"/>
        <w:jc w:val="left"/>
        <w:rPr>
          <w:rFonts w:asciiTheme="minorBidi" w:hAnsiTheme="minorBidi" w:cstheme="minorBidi"/>
          <w:sz w:val="24"/>
          <w:szCs w:val="24"/>
        </w:rPr>
      </w:pPr>
      <w:r w:rsidRPr="00E7121F">
        <w:rPr>
          <w:rFonts w:asciiTheme="minorBidi" w:hAnsiTheme="minorBidi" w:cstheme="minorBidi"/>
          <w:sz w:val="24"/>
          <w:szCs w:val="24"/>
        </w:rPr>
        <w:t xml:space="preserve">In the first quarter of 2019, the Bank maintained appropriate liquidity by investing excess liquidity in liquid assets of very high quality. </w:t>
      </w:r>
    </w:p>
    <w:p w14:paraId="23ECAB95" w14:textId="77777777" w:rsidR="000F7CC1" w:rsidRPr="00E7121F" w:rsidRDefault="000D7EF6" w:rsidP="00214E63">
      <w:pPr>
        <w:spacing w:before="40" w:line="360" w:lineRule="auto"/>
        <w:jc w:val="left"/>
        <w:rPr>
          <w:rFonts w:asciiTheme="minorBidi" w:hAnsiTheme="minorBidi" w:cstheme="minorBidi"/>
          <w:sz w:val="24"/>
          <w:szCs w:val="24"/>
        </w:rPr>
      </w:pPr>
      <w:r w:rsidRPr="00E7121F">
        <w:rPr>
          <w:rFonts w:asciiTheme="minorBidi" w:hAnsiTheme="minorBidi" w:cstheme="minorBidi"/>
          <w:sz w:val="24"/>
          <w:szCs w:val="24"/>
        </w:rPr>
        <w:t xml:space="preserve">The average (consolidated) liquidity coverage ratio for the first quarter of 2019 was 120%. </w:t>
      </w:r>
    </w:p>
    <w:p w14:paraId="497F3032" w14:textId="77777777" w:rsidR="000F7CC1" w:rsidRPr="00E7121F" w:rsidRDefault="000D7EF6" w:rsidP="00214E63">
      <w:pPr>
        <w:spacing w:before="40" w:line="360" w:lineRule="auto"/>
        <w:jc w:val="left"/>
        <w:rPr>
          <w:rFonts w:asciiTheme="minorBidi" w:eastAsia="Calibri" w:hAnsiTheme="minorBidi" w:cstheme="minorBidi"/>
          <w:sz w:val="24"/>
          <w:szCs w:val="24"/>
        </w:rPr>
      </w:pPr>
      <w:r w:rsidRPr="00E7121F">
        <w:rPr>
          <w:rFonts w:asciiTheme="minorBidi" w:hAnsiTheme="minorBidi" w:cstheme="minorBidi"/>
          <w:sz w:val="24"/>
          <w:szCs w:val="24"/>
        </w:rPr>
        <w:t xml:space="preserve">In this quarter, there were no exceptions from the risk appetite limits and concentration benchmarks, and there were no material unusual events. </w:t>
      </w:r>
    </w:p>
    <w:p w14:paraId="2F68C96E" w14:textId="77777777" w:rsidR="000F7CC1" w:rsidRPr="00E7121F" w:rsidRDefault="00BC0689" w:rsidP="00214E63">
      <w:pPr>
        <w:spacing w:before="40" w:line="360" w:lineRule="auto"/>
        <w:jc w:val="left"/>
        <w:rPr>
          <w:rFonts w:asciiTheme="minorBidi" w:eastAsia="Calibri" w:hAnsiTheme="minorBidi" w:cstheme="minorBidi"/>
          <w:spacing w:val="-2"/>
          <w:sz w:val="24"/>
          <w:szCs w:val="24"/>
        </w:rPr>
      </w:pPr>
      <w:r w:rsidRPr="00E7121F">
        <w:rPr>
          <w:rFonts w:asciiTheme="minorBidi" w:hAnsiTheme="minorBidi" w:cstheme="minorBidi"/>
          <w:spacing w:val="-2"/>
          <w:sz w:val="24"/>
          <w:szCs w:val="24"/>
        </w:rPr>
        <w:t xml:space="preserve">Note that in March 2019, the Bank raised its state of alert to Elevated Alert, due to tensions around Gaza and in the South. </w:t>
      </w:r>
    </w:p>
    <w:p w14:paraId="62043D94" w14:textId="77777777" w:rsidR="000F7CC1" w:rsidRPr="00E7121F" w:rsidRDefault="00BC0689" w:rsidP="00214E63">
      <w:pPr>
        <w:spacing w:before="40" w:line="360" w:lineRule="auto"/>
        <w:jc w:val="left"/>
        <w:rPr>
          <w:rFonts w:asciiTheme="minorBidi" w:eastAsia="Calibri" w:hAnsiTheme="minorBidi" w:cstheme="minorBidi"/>
          <w:sz w:val="24"/>
          <w:szCs w:val="24"/>
        </w:rPr>
      </w:pPr>
      <w:r w:rsidRPr="00E7121F">
        <w:rPr>
          <w:rFonts w:asciiTheme="minorBidi" w:hAnsiTheme="minorBidi" w:cstheme="minorBidi"/>
          <w:sz w:val="24"/>
          <w:szCs w:val="24"/>
        </w:rPr>
        <w:t xml:space="preserve">In practice, no events and/or indications were observed which would indicate realization of a liquidity event. </w:t>
      </w:r>
    </w:p>
    <w:p w14:paraId="4582D127" w14:textId="0CFC5CE3" w:rsidR="0035220B" w:rsidRPr="00E7121F" w:rsidRDefault="00BC0689" w:rsidP="00807F0E">
      <w:pPr>
        <w:spacing w:before="40" w:line="360" w:lineRule="auto"/>
        <w:jc w:val="left"/>
        <w:rPr>
          <w:rFonts w:asciiTheme="minorBidi" w:hAnsiTheme="minorBidi" w:cstheme="minorBidi"/>
          <w:b/>
          <w:bCs/>
          <w:sz w:val="24"/>
          <w:szCs w:val="24"/>
        </w:rPr>
      </w:pPr>
      <w:r w:rsidRPr="00E7121F">
        <w:rPr>
          <w:rFonts w:asciiTheme="minorBidi" w:hAnsiTheme="minorBidi" w:cstheme="minorBidi"/>
          <w:sz w:val="24"/>
          <w:szCs w:val="24"/>
        </w:rPr>
        <w:t xml:space="preserve">In early April 2019, after return to normal conditions, the Bank decided to return to the normal course of business. </w:t>
      </w:r>
      <w:r w:rsidR="00535E12" w:rsidRPr="00E7121F">
        <w:rPr>
          <w:rFonts w:asciiTheme="minorBidi" w:hAnsiTheme="minorBidi" w:cstheme="minorBidi"/>
          <w:sz w:val="24"/>
          <w:szCs w:val="24"/>
        </w:rPr>
        <w:br/>
        <w:t>The following chart includes probability of risk:</w:t>
      </w:r>
      <w:r w:rsidR="004E357F">
        <w:rPr>
          <w:rFonts w:asciiTheme="minorBidi" w:hAnsiTheme="minorBidi" w:cstheme="minorBidi"/>
          <w:sz w:val="24"/>
          <w:szCs w:val="24"/>
        </w:rPr>
        <w:br/>
      </w:r>
    </w:p>
    <w:p w14:paraId="469EA347" w14:textId="77777777" w:rsidR="00E61EDB" w:rsidRPr="00DC4370" w:rsidRDefault="00DC4370" w:rsidP="00807F0E">
      <w:pPr>
        <w:spacing w:before="40"/>
        <w:jc w:val="center"/>
        <w:rPr>
          <w:rFonts w:asciiTheme="minorBidi" w:hAnsiTheme="minorBidi" w:cstheme="minorBidi"/>
          <w:szCs w:val="18"/>
        </w:rPr>
      </w:pPr>
      <w:r>
        <w:rPr>
          <w:rFonts w:asciiTheme="minorBidi" w:hAnsiTheme="minorBidi" w:cstheme="minorBidi"/>
          <w:b/>
          <w:bCs/>
          <w:noProof/>
          <w:szCs w:val="18"/>
        </w:rPr>
        <w:drawing>
          <wp:inline distT="0" distB="0" distL="0" distR="0" wp14:anchorId="76F6E00D" wp14:editId="57E3EC4E">
            <wp:extent cx="4563573" cy="2743200"/>
            <wp:effectExtent l="0" t="0" r="8890" b="0"/>
            <wp:docPr id="2" name="תמונה 2" descr="The following chart includes probability of risk:&#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78541" cy="2812308"/>
                    </a:xfrm>
                    <a:prstGeom prst="rect">
                      <a:avLst/>
                    </a:prstGeom>
                    <a:noFill/>
                  </pic:spPr>
                </pic:pic>
              </a:graphicData>
            </a:graphic>
          </wp:inline>
        </w:drawing>
      </w:r>
      <w:r w:rsidR="00E61EDB">
        <w:rPr>
          <w:rFonts w:asciiTheme="minorBidi" w:hAnsiTheme="minorBidi" w:cstheme="minorBidi"/>
          <w:b/>
          <w:bCs/>
          <w:szCs w:val="18"/>
        </w:rPr>
        <w:br w:type="page"/>
      </w:r>
    </w:p>
    <w:p w14:paraId="4EEABA07" w14:textId="77777777" w:rsidR="000D7EF6" w:rsidRPr="00854183" w:rsidRDefault="000D7EF6" w:rsidP="00D04314">
      <w:pPr>
        <w:spacing w:before="140" w:after="100" w:line="360" w:lineRule="auto"/>
        <w:jc w:val="left"/>
        <w:rPr>
          <w:rFonts w:asciiTheme="minorBidi" w:hAnsiTheme="minorBidi" w:cstheme="minorBidi"/>
          <w:b/>
          <w:bCs/>
          <w:sz w:val="24"/>
          <w:szCs w:val="24"/>
        </w:rPr>
      </w:pPr>
      <w:r w:rsidRPr="00854183">
        <w:rPr>
          <w:rFonts w:asciiTheme="minorBidi" w:hAnsiTheme="minorBidi" w:cstheme="minorBidi"/>
          <w:b/>
          <w:bCs/>
          <w:sz w:val="24"/>
          <w:szCs w:val="24"/>
        </w:rPr>
        <w:lastRenderedPageBreak/>
        <w:t>Operational risk</w:t>
      </w:r>
      <w:r w:rsidR="005A7B9C" w:rsidRPr="00854183">
        <w:rPr>
          <w:rFonts w:asciiTheme="minorBidi" w:hAnsiTheme="minorBidi" w:cstheme="minorBidi"/>
          <w:b/>
          <w:bCs/>
          <w:sz w:val="24"/>
          <w:szCs w:val="24"/>
        </w:rPr>
        <w:fldChar w:fldCharType="begin"/>
      </w:r>
      <w:r w:rsidR="005A7B9C" w:rsidRPr="00854183">
        <w:rPr>
          <w:rFonts w:asciiTheme="minorBidi" w:hAnsiTheme="minorBidi" w:cstheme="minorBidi"/>
          <w:sz w:val="24"/>
          <w:szCs w:val="24"/>
        </w:rPr>
        <w:instrText xml:space="preserve"> XE "Operational risk" </w:instrText>
      </w:r>
      <w:r w:rsidR="005A7B9C" w:rsidRPr="00854183">
        <w:rPr>
          <w:rFonts w:asciiTheme="minorBidi" w:hAnsiTheme="minorBidi" w:cstheme="minorBidi"/>
          <w:b/>
          <w:bCs/>
          <w:sz w:val="24"/>
          <w:szCs w:val="24"/>
        </w:rPr>
        <w:fldChar w:fldCharType="end"/>
      </w:r>
    </w:p>
    <w:p w14:paraId="1DEF7337"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the first quarter of this year, operational risk remained Medium. </w:t>
      </w:r>
    </w:p>
    <w:p w14:paraId="0623C233"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There were no material operational events, and the risk level reflects the potential damage that may be caused by materialization of operational risks. </w:t>
      </w:r>
    </w:p>
    <w:p w14:paraId="24DDE15E"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Activity continued to improve monitoring, management and control of operational risks, with emphasis on upgrading the IT system for management of risks surveys and further activity to identify, analyze and enhance awareness of the various operational risks. </w:t>
      </w:r>
    </w:p>
    <w:p w14:paraId="6F1B8785" w14:textId="77777777" w:rsidR="000D7EF6" w:rsidRPr="00854183" w:rsidRDefault="000D7EF6" w:rsidP="00D04314">
      <w:pPr>
        <w:spacing w:before="140" w:after="100" w:line="360" w:lineRule="auto"/>
        <w:jc w:val="left"/>
        <w:rPr>
          <w:rFonts w:asciiTheme="minorBidi" w:hAnsiTheme="minorBidi" w:cstheme="minorBidi"/>
          <w:b/>
          <w:bCs/>
          <w:sz w:val="24"/>
          <w:szCs w:val="24"/>
        </w:rPr>
      </w:pPr>
      <w:r w:rsidRPr="00854183">
        <w:rPr>
          <w:rFonts w:asciiTheme="minorBidi" w:hAnsiTheme="minorBidi" w:cstheme="minorBidi"/>
          <w:b/>
          <w:bCs/>
          <w:sz w:val="24"/>
          <w:szCs w:val="24"/>
        </w:rPr>
        <w:t>Business continuity</w:t>
      </w:r>
    </w:p>
    <w:p w14:paraId="0E2AF840"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The Bank applies Proper Conduct of Banking Business Directive 355 concerning "Management of business continuity". </w:t>
      </w:r>
    </w:p>
    <w:p w14:paraId="21825757"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the first quarter of 2019, the Bank continued to operate in conformity with the work plan. </w:t>
      </w:r>
    </w:p>
    <w:p w14:paraId="205D5EE7"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A periodic questionnaire was launched to review the integrity and currency of the branch emergency file, emergency procedures were revised and branch operation using power generators was exercised. </w:t>
      </w:r>
    </w:p>
    <w:p w14:paraId="390E8388" w14:textId="77777777" w:rsidR="000D7EF6"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Concurrently, the list of services under Business Impact Analysis (BIA) were reviewed and planning of the major annual drill were started.</w:t>
      </w:r>
    </w:p>
    <w:p w14:paraId="7CD8DA69" w14:textId="77777777" w:rsidR="000D7EF6" w:rsidRPr="00854183" w:rsidRDefault="000D7EF6" w:rsidP="00D04314">
      <w:pPr>
        <w:spacing w:before="140" w:after="100" w:line="360" w:lineRule="auto"/>
        <w:jc w:val="left"/>
        <w:rPr>
          <w:rFonts w:asciiTheme="minorBidi" w:hAnsiTheme="minorBidi" w:cstheme="minorBidi"/>
          <w:b/>
          <w:bCs/>
          <w:sz w:val="24"/>
          <w:szCs w:val="24"/>
        </w:rPr>
      </w:pPr>
      <w:r w:rsidRPr="00854183">
        <w:rPr>
          <w:rFonts w:asciiTheme="minorBidi" w:hAnsiTheme="minorBidi" w:cstheme="minorBidi"/>
          <w:b/>
          <w:bCs/>
          <w:sz w:val="24"/>
          <w:szCs w:val="24"/>
        </w:rPr>
        <w:t>Information security and cyber security</w:t>
      </w:r>
    </w:p>
    <w:p w14:paraId="263FDE77"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the first quarter of 2019, the risk level remained Medium. </w:t>
      </w:r>
    </w:p>
    <w:p w14:paraId="7B46397E" w14:textId="77777777" w:rsidR="000F7CC1" w:rsidRPr="00854183" w:rsidRDefault="003E5407"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this quarter, a small number of </w:t>
      </w:r>
      <w:proofErr w:type="gramStart"/>
      <w:r w:rsidRPr="00854183">
        <w:rPr>
          <w:rFonts w:asciiTheme="minorBidi" w:hAnsiTheme="minorBidi" w:cstheme="minorBidi"/>
          <w:sz w:val="24"/>
          <w:szCs w:val="24"/>
        </w:rPr>
        <w:t>fraud</w:t>
      </w:r>
      <w:proofErr w:type="gramEnd"/>
      <w:r w:rsidRPr="00854183">
        <w:rPr>
          <w:rFonts w:asciiTheme="minorBidi" w:hAnsiTheme="minorBidi" w:cstheme="minorBidi"/>
          <w:sz w:val="24"/>
          <w:szCs w:val="24"/>
        </w:rPr>
        <w:t xml:space="preserve"> attempts against clients were identified (through fishing attacks), which resulted in stealing their account credentials in order to conduct unauthorized transactions in their accounts. </w:t>
      </w:r>
    </w:p>
    <w:p w14:paraId="501894CD"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Most of these attempts to conduct unauthorized transactions were identified and blocked by the defense systems applied by the Bank to protect its client accounts. </w:t>
      </w:r>
    </w:p>
    <w:p w14:paraId="5A116A64" w14:textId="77777777" w:rsidR="000D7EF6" w:rsidRPr="00854183" w:rsidRDefault="000D7EF6" w:rsidP="00D04314">
      <w:pPr>
        <w:spacing w:before="40" w:line="360" w:lineRule="auto"/>
        <w:jc w:val="left"/>
        <w:rPr>
          <w:rFonts w:asciiTheme="minorBidi" w:hAnsiTheme="minorBidi" w:cstheme="minorBidi"/>
          <w:sz w:val="24"/>
          <w:szCs w:val="24"/>
          <w:rtl/>
        </w:rPr>
      </w:pPr>
    </w:p>
    <w:p w14:paraId="692B6A13"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Concurrently, towards the end of this quarter the Bank reinforced the defense mechanisms applied in Bank systems, in order to further limit the ability to </w:t>
      </w:r>
      <w:proofErr w:type="spellStart"/>
      <w:r w:rsidRPr="00854183">
        <w:rPr>
          <w:rFonts w:asciiTheme="minorBidi" w:hAnsiTheme="minorBidi" w:cstheme="minorBidi"/>
          <w:sz w:val="24"/>
          <w:szCs w:val="24"/>
        </w:rPr>
        <w:t>defraus</w:t>
      </w:r>
      <w:proofErr w:type="spellEnd"/>
      <w:r w:rsidRPr="00854183">
        <w:rPr>
          <w:rFonts w:asciiTheme="minorBidi" w:hAnsiTheme="minorBidi" w:cstheme="minorBidi"/>
          <w:sz w:val="24"/>
          <w:szCs w:val="24"/>
        </w:rPr>
        <w:t xml:space="preserve"> clients </w:t>
      </w:r>
      <w:r w:rsidRPr="00854183">
        <w:rPr>
          <w:rFonts w:asciiTheme="minorBidi" w:hAnsiTheme="minorBidi" w:cstheme="minorBidi"/>
          <w:sz w:val="24"/>
          <w:szCs w:val="24"/>
        </w:rPr>
        <w:lastRenderedPageBreak/>
        <w:t xml:space="preserve">and to conduct un-authorized transactions in client accounts. </w:t>
      </w:r>
      <w:r w:rsidR="00D04314">
        <w:rPr>
          <w:rFonts w:asciiTheme="minorBidi" w:hAnsiTheme="minorBidi" w:cstheme="minorBidi"/>
          <w:sz w:val="24"/>
          <w:szCs w:val="24"/>
        </w:rPr>
        <w:br/>
      </w:r>
      <w:r w:rsidR="00D04314">
        <w:rPr>
          <w:rFonts w:asciiTheme="minorBidi" w:hAnsiTheme="minorBidi" w:cstheme="minorBidi"/>
          <w:sz w:val="24"/>
          <w:szCs w:val="24"/>
        </w:rPr>
        <w:br/>
      </w:r>
    </w:p>
    <w:p w14:paraId="41913C62" w14:textId="77777777" w:rsidR="000D7EF6" w:rsidRPr="00854183" w:rsidRDefault="000D7EF6" w:rsidP="00D04314">
      <w:pPr>
        <w:spacing w:before="140" w:after="100" w:line="360" w:lineRule="auto"/>
        <w:jc w:val="left"/>
        <w:rPr>
          <w:rFonts w:asciiTheme="minorBidi" w:hAnsiTheme="minorBidi" w:cstheme="minorBidi"/>
          <w:b/>
          <w:bCs/>
          <w:sz w:val="24"/>
          <w:szCs w:val="24"/>
        </w:rPr>
      </w:pPr>
      <w:r w:rsidRPr="00854183">
        <w:rPr>
          <w:rFonts w:asciiTheme="minorBidi" w:hAnsiTheme="minorBidi" w:cstheme="minorBidi"/>
          <w:b/>
          <w:bCs/>
          <w:sz w:val="24"/>
          <w:szCs w:val="24"/>
        </w:rPr>
        <w:t>Compliance risk</w:t>
      </w:r>
    </w:p>
    <w:p w14:paraId="7BC66180"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Compliance risk remained unchanged at Low-Medium. The Bank believes the risk is trending downwards due, </w:t>
      </w:r>
      <w:r w:rsidRPr="00884C64">
        <w:rPr>
          <w:rFonts w:asciiTheme="minorBidi" w:hAnsiTheme="minorBidi" w:cstheme="minorBidi"/>
          <w:sz w:val="24"/>
          <w:szCs w:val="24"/>
        </w:rPr>
        <w:t>inter alia</w:t>
      </w:r>
      <w:r w:rsidRPr="00854183">
        <w:rPr>
          <w:rFonts w:asciiTheme="minorBidi" w:hAnsiTheme="minorBidi" w:cstheme="minorBidi"/>
          <w:sz w:val="24"/>
          <w:szCs w:val="24"/>
        </w:rPr>
        <w:t xml:space="preserve">, to continued addressing of risks rated high and to further enhancement of controls and training and further streamlining of work processes in this area and measures taken to improve interfaces between units. </w:t>
      </w:r>
    </w:p>
    <w:p w14:paraId="04976CE8" w14:textId="77777777" w:rsidR="000D7EF6"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This is in view of further increased regulatory activity reflected, </w:t>
      </w:r>
      <w:r w:rsidRPr="00884C64">
        <w:rPr>
          <w:rFonts w:asciiTheme="minorBidi" w:hAnsiTheme="minorBidi" w:cstheme="minorBidi"/>
          <w:sz w:val="24"/>
          <w:szCs w:val="24"/>
        </w:rPr>
        <w:t>inter alia</w:t>
      </w:r>
      <w:r w:rsidRPr="00854183">
        <w:rPr>
          <w:rFonts w:asciiTheme="minorBidi" w:hAnsiTheme="minorBidi" w:cstheme="minorBidi"/>
          <w:sz w:val="24"/>
          <w:szCs w:val="24"/>
        </w:rPr>
        <w:t>, in new directives being issued frequently, which the Bank is preparing for.</w:t>
      </w:r>
    </w:p>
    <w:p w14:paraId="4039A812" w14:textId="77777777" w:rsidR="00FC7886" w:rsidRPr="00917646" w:rsidRDefault="00FC7886" w:rsidP="00FA540B">
      <w:pPr>
        <w:pStyle w:val="12-"/>
        <w:spacing w:before="240" w:after="200" w:line="360" w:lineRule="auto"/>
        <w:ind w:left="-100"/>
        <w:outlineLvl w:val="9"/>
        <w:rPr>
          <w:noProof w:val="0"/>
          <w:color w:val="F4B083" w:themeColor="accent2" w:themeTint="99"/>
          <w:sz w:val="28"/>
          <w:szCs w:val="28"/>
          <w:lang w:eastAsia="en-US"/>
        </w:rPr>
      </w:pPr>
      <w:bookmarkStart w:id="7" w:name="_Toc9187305"/>
      <w:r w:rsidRPr="00917646">
        <w:rPr>
          <w:noProof w:val="0"/>
          <w:color w:val="F4B083" w:themeColor="accent2" w:themeTint="99"/>
          <w:sz w:val="28"/>
          <w:szCs w:val="28"/>
          <w:lang w:eastAsia="en-US"/>
        </w:rPr>
        <w:t>Key and emerging risks</w:t>
      </w:r>
      <w:bookmarkEnd w:id="7"/>
    </w:p>
    <w:p w14:paraId="7EF17F52" w14:textId="77777777" w:rsidR="00FC7886" w:rsidRPr="00201D08" w:rsidRDefault="00A67C69" w:rsidP="00A47FAA">
      <w:pPr>
        <w:spacing w:line="360" w:lineRule="auto"/>
        <w:jc w:val="left"/>
        <w:rPr>
          <w:rFonts w:asciiTheme="minorBidi" w:hAnsiTheme="minorBidi" w:cstheme="minorBidi"/>
          <w:sz w:val="24"/>
          <w:szCs w:val="24"/>
        </w:rPr>
      </w:pPr>
      <w:r w:rsidRPr="00201D08">
        <w:rPr>
          <w:rFonts w:asciiTheme="minorBidi" w:hAnsiTheme="minorBidi" w:cstheme="minorBidi"/>
          <w:sz w:val="24"/>
          <w:szCs w:val="24"/>
        </w:rPr>
        <w:t>Bank business exposes it to various financial and non-financial risks, which may impact the Bank's business results and reputation.</w:t>
      </w:r>
    </w:p>
    <w:p w14:paraId="11AE6341"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In the risk identification and mapping process, the Bank reviews all of its risk exposures. </w:t>
      </w:r>
    </w:p>
    <w:p w14:paraId="6A226ED5"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Top risks, existing (or new) risks which may materialize over the coming 12 months which potentially may materially impact the Bank's financial results and stability (such as: credit, interest and liquidity risks). </w:t>
      </w:r>
    </w:p>
    <w:p w14:paraId="4602C063"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The Bank also identifies emerging risks, which may materialize over the longer term and subject to uncertainty with regard to their nature and impact on the Bank. </w:t>
      </w:r>
    </w:p>
    <w:p w14:paraId="729B7C17"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Of these risks, one may note the following: information security and cyber risk, IT risk and reputation risk. </w:t>
      </w:r>
    </w:p>
    <w:p w14:paraId="51F46E4C" w14:textId="77777777" w:rsidR="00FC7886"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As noted, the risks mapping is regularly reviewed to ensure that it encompasses all business operations at the Bank, market conditions and regulatory requirements.</w:t>
      </w:r>
    </w:p>
    <w:p w14:paraId="293841D6" w14:textId="77777777" w:rsidR="000F7CC1" w:rsidRPr="00201D08" w:rsidRDefault="00F66BF7"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The Bank continues to upgrade the framework for handling "emerging" risks, such as compliance and regulatory risk</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compliance and regulatory risk</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 AML</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AML</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risk</w:t>
      </w:r>
      <w:r w:rsidR="001848FF" w:rsidRPr="00201D08">
        <w:rPr>
          <w:rFonts w:asciiTheme="minorBidi" w:hAnsiTheme="minorBidi" w:cstheme="minorBidi"/>
          <w:sz w:val="24"/>
          <w:szCs w:val="24"/>
        </w:rPr>
        <w:fldChar w:fldCharType="begin"/>
      </w:r>
      <w:r w:rsidR="001848FF" w:rsidRPr="00201D08">
        <w:rPr>
          <w:rFonts w:asciiTheme="minorBidi" w:hAnsiTheme="minorBidi" w:cstheme="minorBidi"/>
          <w:sz w:val="24"/>
          <w:szCs w:val="24"/>
        </w:rPr>
        <w:instrText xml:space="preserve"> XE "Capital" </w:instrText>
      </w:r>
      <w:r w:rsidR="001848FF"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and cross-border risk – while allocating the required resources for addressing these risks. </w:t>
      </w:r>
    </w:p>
    <w:p w14:paraId="6E427B9E" w14:textId="77777777" w:rsidR="000F7CC1" w:rsidRPr="00201D08" w:rsidRDefault="00F66BF7"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lastRenderedPageBreak/>
        <w:t xml:space="preserve">Note that the Bank has zero appetite for non-compliance with applicable regulatory directives of the Bank of Israel. </w:t>
      </w:r>
    </w:p>
    <w:p w14:paraId="078D442E" w14:textId="77777777" w:rsidR="00F66BF7" w:rsidRPr="00201D08" w:rsidRDefault="00F66BF7"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Bank operations with regard to these risks are primarily qualitative actions designed to create the required framework for addressing these emerging risks.</w:t>
      </w:r>
    </w:p>
    <w:p w14:paraId="517D3BDA" w14:textId="77777777" w:rsidR="001D1E95" w:rsidRDefault="001D1E95" w:rsidP="00A47FAA">
      <w:pPr>
        <w:pStyle w:val="12-"/>
        <w:spacing w:line="360" w:lineRule="auto"/>
        <w:ind w:left="-100"/>
        <w:jc w:val="left"/>
        <w:outlineLvl w:val="9"/>
      </w:pPr>
    </w:p>
    <w:p w14:paraId="4C6DFB4D" w14:textId="77777777" w:rsidR="004B331F" w:rsidRPr="00F6277F" w:rsidRDefault="004B331F" w:rsidP="00F6277F">
      <w:pPr>
        <w:tabs>
          <w:tab w:val="left" w:pos="5895"/>
          <w:tab w:val="left" w:pos="7027"/>
          <w:tab w:val="left" w:pos="8189"/>
        </w:tabs>
        <w:spacing w:before="40"/>
        <w:ind w:left="0"/>
        <w:jc w:val="left"/>
        <w:rPr>
          <w:rFonts w:asciiTheme="minorBidi" w:eastAsia="Joker" w:hAnsiTheme="minorBidi" w:cstheme="minorBidi"/>
          <w:b/>
          <w:bCs/>
          <w:sz w:val="21"/>
          <w:szCs w:val="21"/>
        </w:rPr>
      </w:pPr>
      <w:bookmarkStart w:id="8" w:name="_Toc433799930"/>
      <w:bookmarkStart w:id="9" w:name="_Toc512430219"/>
      <w:r w:rsidRPr="00F6277F">
        <w:rPr>
          <w:rFonts w:asciiTheme="minorBidi" w:hAnsiTheme="minorBidi" w:cstheme="minorBidi"/>
        </w:rPr>
        <w:br w:type="page"/>
      </w:r>
    </w:p>
    <w:p w14:paraId="324EA266" w14:textId="77777777" w:rsidR="00FC7886" w:rsidRPr="00917646" w:rsidRDefault="00FC7886" w:rsidP="00917646">
      <w:pPr>
        <w:spacing w:before="140" w:after="100" w:line="360" w:lineRule="auto"/>
        <w:jc w:val="left"/>
        <w:rPr>
          <w:rFonts w:asciiTheme="minorBidi" w:hAnsiTheme="minorBidi" w:cstheme="minorBidi"/>
          <w:b/>
          <w:bCs/>
          <w:sz w:val="24"/>
          <w:szCs w:val="24"/>
        </w:rPr>
      </w:pPr>
      <w:bookmarkStart w:id="10" w:name="_Toc9187310"/>
      <w:r w:rsidRPr="00917646">
        <w:rPr>
          <w:rFonts w:asciiTheme="minorBidi" w:hAnsiTheme="minorBidi" w:cstheme="minorBidi"/>
          <w:b/>
          <w:bCs/>
          <w:sz w:val="24"/>
          <w:szCs w:val="24"/>
        </w:rPr>
        <w:lastRenderedPageBreak/>
        <w:t>Credit risk</w:t>
      </w:r>
      <w:bookmarkEnd w:id="8"/>
      <w:bookmarkEnd w:id="9"/>
      <w:bookmarkEnd w:id="10"/>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"Credit risk" </w:instrText>
      </w:r>
      <w:r w:rsidRPr="00917646">
        <w:rPr>
          <w:rFonts w:asciiTheme="minorBidi" w:hAnsiTheme="minorBidi" w:cstheme="minorBidi"/>
          <w:b/>
          <w:bCs/>
          <w:sz w:val="24"/>
          <w:szCs w:val="24"/>
        </w:rPr>
        <w:fldChar w:fldCharType="end"/>
      </w:r>
    </w:p>
    <w:p w14:paraId="0DB8EC57" w14:textId="77777777" w:rsidR="00FC7886" w:rsidRPr="00466F32" w:rsidRDefault="00FC7886" w:rsidP="00F6277F">
      <w:pPr>
        <w:tabs>
          <w:tab w:val="left" w:pos="363"/>
        </w:tabs>
        <w:spacing w:before="40"/>
        <w:rPr>
          <w:rFonts w:asciiTheme="minorBidi" w:hAnsiTheme="minorBidi" w:cstheme="minorBidi"/>
          <w:sz w:val="12"/>
          <w:szCs w:val="17"/>
          <w:rtl/>
        </w:rPr>
      </w:pPr>
    </w:p>
    <w:p w14:paraId="0A4F6B73" w14:textId="77777777" w:rsidR="00FC7886" w:rsidRPr="00201D08" w:rsidRDefault="00FC7886" w:rsidP="00A47FAA">
      <w:pPr>
        <w:spacing w:before="40" w:line="360" w:lineRule="auto"/>
        <w:jc w:val="left"/>
        <w:rPr>
          <w:rFonts w:asciiTheme="minorBidi" w:hAnsiTheme="minorBidi" w:cstheme="minorBidi"/>
          <w:color w:val="auto"/>
          <w:spacing w:val="-4"/>
          <w:sz w:val="24"/>
          <w:szCs w:val="24"/>
        </w:rPr>
      </w:pPr>
      <w:r w:rsidRPr="00201D08">
        <w:rPr>
          <w:rFonts w:asciiTheme="minorBidi" w:hAnsiTheme="minorBidi" w:cstheme="minorBidi"/>
          <w:color w:val="auto"/>
          <w:spacing w:val="-4"/>
          <w:sz w:val="24"/>
          <w:szCs w:val="24"/>
        </w:rPr>
        <w:t>This chapter discusses credit risk, in conformity with disclosure requirements of the Basel Committee and the FSB; the chapter structure and topic order (adjusted for the nature of Bank operations) are also in conformity with these requirements.</w:t>
      </w:r>
    </w:p>
    <w:p w14:paraId="23D9C3D7" w14:textId="77777777" w:rsidR="000F7CC1" w:rsidRPr="00201D08" w:rsidRDefault="00FC7886" w:rsidP="00A47FAA">
      <w:pPr>
        <w:spacing w:before="40" w:line="360" w:lineRule="auto"/>
        <w:jc w:val="left"/>
        <w:rPr>
          <w:rFonts w:asciiTheme="minorBidi" w:hAnsiTheme="minorBidi" w:cstheme="minorBidi"/>
          <w:color w:val="auto"/>
          <w:sz w:val="24"/>
          <w:szCs w:val="24"/>
        </w:rPr>
      </w:pPr>
      <w:r w:rsidRPr="00201D08">
        <w:rPr>
          <w:rFonts w:asciiTheme="minorBidi" w:hAnsiTheme="minorBidi" w:cstheme="minorBidi"/>
          <w:sz w:val="24"/>
          <w:szCs w:val="24"/>
        </w:rPr>
        <w:t>The chapter "Counter party credit risk</w:t>
      </w:r>
      <w:r w:rsidRPr="00201D08">
        <w:rPr>
          <w:rFonts w:asciiTheme="minorBidi" w:hAnsiTheme="minorBidi" w:cstheme="minorBidi"/>
          <w:color w:val="auto"/>
          <w:sz w:val="24"/>
          <w:szCs w:val="24"/>
        </w:rPr>
        <w:fldChar w:fldCharType="begin"/>
      </w:r>
      <w:r w:rsidRPr="00201D08">
        <w:rPr>
          <w:rFonts w:asciiTheme="minorBidi" w:hAnsiTheme="minorBidi" w:cstheme="minorBidi"/>
          <w:sz w:val="24"/>
          <w:szCs w:val="24"/>
        </w:rPr>
        <w:instrText xml:space="preserve"> XE "Credit risk" </w:instrText>
      </w:r>
      <w:r w:rsidRPr="00201D08">
        <w:rPr>
          <w:rFonts w:asciiTheme="minorBidi" w:hAnsiTheme="minorBidi" w:cstheme="minorBidi"/>
          <w:color w:val="auto"/>
          <w:sz w:val="24"/>
          <w:szCs w:val="24"/>
        </w:rPr>
        <w:fldChar w:fldCharType="end"/>
      </w:r>
      <w:r w:rsidRPr="00201D08">
        <w:rPr>
          <w:rFonts w:asciiTheme="minorBidi" w:hAnsiTheme="minorBidi" w:cstheme="minorBidi"/>
          <w:sz w:val="24"/>
          <w:szCs w:val="24"/>
        </w:rPr>
        <w:t>" below includes qualitative and quantitative disclosures about the capital requirement with respect to this risk and adjustment to capital requirements with respect to credit risk (CVA).</w:t>
      </w:r>
      <w:r w:rsidRPr="00201D08">
        <w:rPr>
          <w:rFonts w:asciiTheme="minorBidi" w:hAnsiTheme="minorBidi" w:cstheme="minorBidi"/>
          <w:color w:val="auto"/>
          <w:sz w:val="24"/>
          <w:szCs w:val="24"/>
        </w:rPr>
        <w:t xml:space="preserve"> </w:t>
      </w:r>
    </w:p>
    <w:p w14:paraId="743AD742" w14:textId="77777777" w:rsidR="000F7CC1" w:rsidRPr="00201D08" w:rsidRDefault="00FC7886" w:rsidP="00A47FAA">
      <w:pPr>
        <w:tabs>
          <w:tab w:val="left" w:pos="907"/>
        </w:tabs>
        <w:spacing w:before="40" w:line="360" w:lineRule="auto"/>
        <w:jc w:val="left"/>
        <w:rPr>
          <w:rFonts w:asciiTheme="minorBidi" w:hAnsiTheme="minorBidi" w:cstheme="minorBidi"/>
          <w:color w:val="auto"/>
          <w:sz w:val="24"/>
          <w:szCs w:val="24"/>
        </w:rPr>
      </w:pPr>
      <w:bookmarkStart w:id="11" w:name="_Toc512430220"/>
      <w:r w:rsidRPr="00201D08">
        <w:rPr>
          <w:rFonts w:asciiTheme="minorBidi" w:hAnsiTheme="minorBidi" w:cstheme="minorBidi"/>
          <w:sz w:val="24"/>
          <w:szCs w:val="24"/>
        </w:rPr>
        <w:t>Credit risk</w:t>
      </w:r>
      <w:r w:rsidRPr="00201D08">
        <w:rPr>
          <w:rFonts w:asciiTheme="minorBidi" w:hAnsiTheme="minorBidi" w:cstheme="minorBidi"/>
          <w:color w:val="auto"/>
          <w:sz w:val="24"/>
          <w:szCs w:val="24"/>
        </w:rPr>
        <w:fldChar w:fldCharType="begin"/>
      </w:r>
      <w:r w:rsidRPr="00201D08">
        <w:rPr>
          <w:rFonts w:asciiTheme="minorBidi" w:hAnsiTheme="minorBidi" w:cstheme="minorBidi"/>
          <w:sz w:val="24"/>
          <w:szCs w:val="24"/>
        </w:rPr>
        <w:instrText xml:space="preserve"> XE "Credit risk" </w:instrText>
      </w:r>
      <w:r w:rsidRPr="00201D08">
        <w:rPr>
          <w:rFonts w:asciiTheme="minorBidi" w:hAnsiTheme="minorBidi" w:cstheme="minorBidi"/>
          <w:color w:val="auto"/>
          <w:sz w:val="24"/>
          <w:szCs w:val="24"/>
        </w:rPr>
        <w:fldChar w:fldCharType="end"/>
      </w:r>
      <w:r w:rsidRPr="00201D08">
        <w:rPr>
          <w:rFonts w:asciiTheme="minorBidi" w:hAnsiTheme="minorBidi" w:cstheme="minorBidi"/>
          <w:sz w:val="24"/>
          <w:szCs w:val="24"/>
        </w:rPr>
        <w:t xml:space="preserve"> is the risk that a borrower or counter-party of the Bank would not fulfill its obligations towards the Bank.</w:t>
      </w:r>
      <w:r w:rsidRPr="00201D08">
        <w:rPr>
          <w:rFonts w:asciiTheme="minorBidi" w:hAnsiTheme="minorBidi" w:cstheme="minorBidi"/>
          <w:color w:val="auto"/>
          <w:sz w:val="24"/>
          <w:szCs w:val="24"/>
        </w:rPr>
        <w:t xml:space="preserve"> </w:t>
      </w:r>
    </w:p>
    <w:p w14:paraId="1060FC1C" w14:textId="77777777" w:rsidR="000F7CC1" w:rsidRPr="00201D08" w:rsidRDefault="00FC7886" w:rsidP="00A47FAA">
      <w:pPr>
        <w:tabs>
          <w:tab w:val="left" w:pos="907"/>
        </w:tabs>
        <w:spacing w:before="40" w:line="360" w:lineRule="auto"/>
        <w:jc w:val="left"/>
        <w:rPr>
          <w:rFonts w:asciiTheme="minorBidi" w:hAnsiTheme="minorBidi" w:cstheme="minorBidi"/>
          <w:color w:val="auto"/>
          <w:sz w:val="24"/>
          <w:szCs w:val="24"/>
        </w:rPr>
      </w:pPr>
      <w:r w:rsidRPr="00201D08">
        <w:rPr>
          <w:rFonts w:asciiTheme="minorBidi" w:hAnsiTheme="minorBidi" w:cstheme="minorBidi"/>
          <w:color w:val="auto"/>
          <w:sz w:val="24"/>
          <w:szCs w:val="24"/>
        </w:rPr>
        <w:t>Credit risk</w:t>
      </w:r>
      <w:r w:rsidR="00845C45" w:rsidRPr="00201D08">
        <w:rPr>
          <w:rFonts w:asciiTheme="minorBidi" w:hAnsiTheme="minorBidi" w:cstheme="minorBidi"/>
          <w:color w:val="auto"/>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Credit risk</w:instrText>
      </w:r>
      <w:r w:rsidR="00845C45" w:rsidRPr="00201D08">
        <w:rPr>
          <w:sz w:val="24"/>
          <w:szCs w:val="24"/>
        </w:rPr>
        <w:instrText xml:space="preserve">" </w:instrText>
      </w:r>
      <w:r w:rsidR="00845C45"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xml:space="preserve"> is a material risk to Bank operations. </w:t>
      </w:r>
    </w:p>
    <w:p w14:paraId="73B47ED5" w14:textId="7797A728" w:rsidR="000F7CC1" w:rsidRPr="00201D08" w:rsidRDefault="00FC7886" w:rsidP="00A47FAA">
      <w:pPr>
        <w:tabs>
          <w:tab w:val="left" w:pos="907"/>
        </w:tabs>
        <w:spacing w:before="40" w:line="360" w:lineRule="auto"/>
        <w:jc w:val="left"/>
        <w:rPr>
          <w:rFonts w:asciiTheme="minorBidi" w:hAnsiTheme="minorBidi" w:cstheme="minorBidi"/>
          <w:color w:val="auto"/>
          <w:sz w:val="24"/>
          <w:szCs w:val="24"/>
        </w:rPr>
      </w:pPr>
      <w:r w:rsidRPr="00201D08">
        <w:rPr>
          <w:rFonts w:asciiTheme="minorBidi" w:hAnsiTheme="minorBidi" w:cstheme="minorBidi"/>
          <w:color w:val="auto"/>
          <w:sz w:val="24"/>
          <w:szCs w:val="24"/>
        </w:rPr>
        <w:t>This risk is affected by multiple factors: Business risk due to client activities, concentration risk due to over-exposure to a borrower / borrower group and to economic sectors</w:t>
      </w:r>
      <w:r w:rsidR="00D757CA" w:rsidRPr="00201D08">
        <w:rPr>
          <w:rFonts w:asciiTheme="minorBidi" w:hAnsiTheme="minorBidi" w:cstheme="minorBidi"/>
          <w:color w:val="auto"/>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economic sectors</w:instrText>
      </w:r>
      <w:r w:rsidR="00D757CA" w:rsidRPr="00201D08">
        <w:rPr>
          <w:sz w:val="24"/>
          <w:szCs w:val="24"/>
        </w:rPr>
        <w:instrText xml:space="preserve">" </w:instrText>
      </w:r>
      <w:r w:rsidR="00D757CA"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xml:space="preserve">, geographic concentration risk, risk due to exogenous changes which mostly involve changes to the borrower's macro-economic environment, overseas credit risks and operational risks which, should they materialize, would have implications for credit risks. </w:t>
      </w:r>
      <w:r w:rsidR="00BE47B0">
        <w:rPr>
          <w:rFonts w:asciiTheme="minorBidi" w:hAnsiTheme="minorBidi" w:cstheme="minorBidi"/>
          <w:color w:val="auto"/>
          <w:sz w:val="24"/>
          <w:szCs w:val="24"/>
        </w:rPr>
        <w:t xml:space="preserve">. All credit risks </w:t>
      </w:r>
      <w:proofErr w:type="gramStart"/>
      <w:r w:rsidR="00BE47B0">
        <w:rPr>
          <w:rFonts w:asciiTheme="minorBidi" w:hAnsiTheme="minorBidi" w:cstheme="minorBidi"/>
          <w:color w:val="auto"/>
          <w:sz w:val="24"/>
          <w:szCs w:val="24"/>
        </w:rPr>
        <w:t>does</w:t>
      </w:r>
      <w:proofErr w:type="gramEnd"/>
      <w:r w:rsidR="00BE47B0">
        <w:rPr>
          <w:rFonts w:asciiTheme="minorBidi" w:hAnsiTheme="minorBidi" w:cstheme="minorBidi"/>
          <w:color w:val="auto"/>
          <w:sz w:val="24"/>
          <w:szCs w:val="24"/>
        </w:rPr>
        <w:t xml:space="preserve"> not refer to tax issues including </w:t>
      </w:r>
      <w:r w:rsidR="00BE47B0" w:rsidRPr="00BE47B0">
        <w:rPr>
          <w:rFonts w:asciiTheme="minorBidi" w:hAnsiTheme="minorBidi" w:cstheme="minorBidi"/>
          <w:color w:val="auto"/>
          <w:sz w:val="24"/>
          <w:szCs w:val="24"/>
          <w:highlight w:val="yellow"/>
        </w:rPr>
        <w:t>VAT</w:t>
      </w:r>
      <w:r w:rsidR="00BE47B0">
        <w:rPr>
          <w:rFonts w:asciiTheme="minorBidi" w:hAnsiTheme="minorBidi" w:cstheme="minorBidi"/>
          <w:color w:val="auto"/>
          <w:sz w:val="24"/>
          <w:szCs w:val="24"/>
        </w:rPr>
        <w:t>.</w:t>
      </w:r>
    </w:p>
    <w:p w14:paraId="6E72A836" w14:textId="77777777" w:rsidR="00FC7886" w:rsidRPr="00201D08" w:rsidRDefault="00FC7886" w:rsidP="00A47FAA">
      <w:pPr>
        <w:tabs>
          <w:tab w:val="left" w:pos="907"/>
        </w:tabs>
        <w:spacing w:before="40" w:line="360" w:lineRule="auto"/>
        <w:jc w:val="left"/>
        <w:rPr>
          <w:rFonts w:asciiTheme="minorBidi" w:hAnsiTheme="minorBidi" w:cstheme="minorBidi"/>
          <w:color w:val="auto"/>
          <w:sz w:val="24"/>
          <w:szCs w:val="24"/>
        </w:rPr>
      </w:pPr>
      <w:r w:rsidRPr="00201D08">
        <w:rPr>
          <w:rFonts w:asciiTheme="minorBidi" w:hAnsiTheme="minorBidi" w:cstheme="minorBidi"/>
          <w:color w:val="auto"/>
          <w:sz w:val="24"/>
          <w:szCs w:val="24"/>
        </w:rPr>
        <w:t>Moreover, such risk is interrelated to multiple other risks, such as market and interest risk</w:t>
      </w:r>
      <w:r w:rsidR="00D757CA" w:rsidRPr="00201D08">
        <w:rPr>
          <w:rFonts w:asciiTheme="minorBidi" w:hAnsiTheme="minorBidi" w:cstheme="minorBidi"/>
          <w:color w:val="auto"/>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interest risk</w:instrText>
      </w:r>
      <w:r w:rsidR="00D757CA" w:rsidRPr="00201D08">
        <w:rPr>
          <w:sz w:val="24"/>
          <w:szCs w:val="24"/>
        </w:rPr>
        <w:instrText xml:space="preserve">" </w:instrText>
      </w:r>
      <w:r w:rsidR="00D757CA"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liquidity risk</w:t>
      </w:r>
      <w:r w:rsidR="00D757CA" w:rsidRPr="00201D08">
        <w:rPr>
          <w:rFonts w:asciiTheme="minorBidi" w:hAnsiTheme="minorBidi" w:cstheme="minorBidi"/>
          <w:color w:val="auto"/>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liquidity risk</w:instrText>
      </w:r>
      <w:r w:rsidR="00D757CA" w:rsidRPr="00201D08">
        <w:rPr>
          <w:sz w:val="24"/>
          <w:szCs w:val="24"/>
        </w:rPr>
        <w:instrText xml:space="preserve">" </w:instrText>
      </w:r>
      <w:r w:rsidR="00D757CA"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compliance risks and other risks.</w:t>
      </w:r>
    </w:p>
    <w:p w14:paraId="3FAC231E" w14:textId="77777777" w:rsidR="000F7CC1" w:rsidRPr="00201D08" w:rsidRDefault="00FC7886" w:rsidP="00A47FAA">
      <w:pPr>
        <w:tabs>
          <w:tab w:val="left" w:pos="907"/>
        </w:tabs>
        <w:spacing w:before="40" w:line="360" w:lineRule="auto"/>
        <w:jc w:val="left"/>
        <w:rPr>
          <w:rFonts w:asciiTheme="minorBidi" w:hAnsiTheme="minorBidi" w:cstheme="minorBidi"/>
          <w:color w:val="auto"/>
          <w:spacing w:val="-2"/>
          <w:sz w:val="24"/>
          <w:szCs w:val="24"/>
        </w:rPr>
      </w:pPr>
      <w:r w:rsidRPr="00201D08">
        <w:rPr>
          <w:rFonts w:asciiTheme="minorBidi" w:hAnsiTheme="minorBidi" w:cstheme="minorBidi"/>
          <w:color w:val="auto"/>
          <w:spacing w:val="-2"/>
          <w:sz w:val="24"/>
          <w:szCs w:val="24"/>
        </w:rPr>
        <w:t xml:space="preserve">Credit is at the core of banking operations and therefore, credit risk is the major risk addressed by the banking system. </w:t>
      </w:r>
    </w:p>
    <w:p w14:paraId="49CC0758" w14:textId="77777777" w:rsidR="00FC7886" w:rsidRPr="00201D08" w:rsidRDefault="00FC7886" w:rsidP="00A47FAA">
      <w:pPr>
        <w:tabs>
          <w:tab w:val="left" w:pos="907"/>
        </w:tabs>
        <w:spacing w:before="40" w:line="360" w:lineRule="auto"/>
        <w:jc w:val="left"/>
        <w:rPr>
          <w:rFonts w:asciiTheme="minorBidi" w:hAnsiTheme="minorBidi" w:cstheme="minorBidi"/>
          <w:color w:val="auto"/>
          <w:spacing w:val="-2"/>
          <w:sz w:val="24"/>
          <w:szCs w:val="24"/>
        </w:rPr>
      </w:pPr>
      <w:r w:rsidRPr="00201D08">
        <w:rPr>
          <w:rFonts w:asciiTheme="minorBidi" w:hAnsiTheme="minorBidi" w:cstheme="minorBidi"/>
          <w:color w:val="auto"/>
          <w:spacing w:val="-2"/>
          <w:sz w:val="24"/>
          <w:szCs w:val="24"/>
        </w:rPr>
        <w:t>Accordingly, the lion's share of capital allocated in Tier I is with respect to credit risk.</w:t>
      </w:r>
    </w:p>
    <w:p w14:paraId="3342A5D1" w14:textId="77777777" w:rsidR="009D45AC" w:rsidRPr="00201D08" w:rsidRDefault="009D45AC" w:rsidP="00A47FAA">
      <w:pPr>
        <w:tabs>
          <w:tab w:val="left" w:pos="329"/>
        </w:tabs>
        <w:spacing w:before="40" w:line="360" w:lineRule="auto"/>
        <w:jc w:val="left"/>
        <w:rPr>
          <w:rFonts w:asciiTheme="minorBidi" w:eastAsia="Calibri" w:hAnsiTheme="minorBidi" w:cstheme="minorBidi"/>
          <w:spacing w:val="-2"/>
          <w:sz w:val="24"/>
          <w:szCs w:val="24"/>
        </w:rPr>
      </w:pPr>
      <w:r w:rsidRPr="00201D08">
        <w:rPr>
          <w:rFonts w:asciiTheme="minorBidi" w:hAnsiTheme="minorBidi" w:cstheme="minorBidi"/>
          <w:spacing w:val="-2"/>
          <w:sz w:val="24"/>
          <w:szCs w:val="24"/>
        </w:rPr>
        <w:t>For more information about credit risk, see chapter "Credit risk</w:t>
      </w:r>
      <w:r w:rsidR="00845C45" w:rsidRPr="00201D08">
        <w:rPr>
          <w:rFonts w:asciiTheme="minorBidi" w:hAnsiTheme="minorBidi" w:cstheme="minorBidi"/>
          <w:spacing w:val="-2"/>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Credit risk</w:instrText>
      </w:r>
      <w:r w:rsidR="00845C45" w:rsidRPr="00201D08">
        <w:rPr>
          <w:sz w:val="24"/>
          <w:szCs w:val="24"/>
        </w:rPr>
        <w:instrText xml:space="preserve">" </w:instrText>
      </w:r>
      <w:r w:rsidR="00845C45" w:rsidRPr="00201D08">
        <w:rPr>
          <w:rFonts w:asciiTheme="minorBidi" w:hAnsiTheme="minorBidi" w:cstheme="minorBidi"/>
          <w:spacing w:val="-2"/>
          <w:sz w:val="24"/>
          <w:szCs w:val="24"/>
        </w:rPr>
        <w:fldChar w:fldCharType="end"/>
      </w:r>
      <w:r w:rsidRPr="00201D08">
        <w:rPr>
          <w:rFonts w:asciiTheme="minorBidi" w:hAnsiTheme="minorBidi" w:cstheme="minorBidi"/>
          <w:spacing w:val="-2"/>
          <w:sz w:val="24"/>
          <w:szCs w:val="24"/>
        </w:rPr>
        <w:t>" in the 2018 Risks Report, available on the Bank website.</w:t>
      </w:r>
    </w:p>
    <w:p w14:paraId="1EE01D84" w14:textId="77777777" w:rsidR="005C5BF3" w:rsidRDefault="005C5BF3">
      <w:pPr>
        <w:spacing w:after="160" w:line="259" w:lineRule="auto"/>
        <w:ind w:left="0" w:right="0"/>
        <w:jc w:val="left"/>
        <w:rPr>
          <w:rFonts w:asciiTheme="minorBidi" w:eastAsia="Calibri" w:hAnsiTheme="minorBidi" w:cstheme="minorBidi"/>
          <w:sz w:val="24"/>
          <w:szCs w:val="24"/>
        </w:rPr>
      </w:pPr>
      <w:bookmarkStart w:id="12" w:name="איכות_האשראי"/>
      <w:bookmarkEnd w:id="11"/>
      <w:r>
        <w:rPr>
          <w:rFonts w:asciiTheme="minorBidi" w:eastAsia="Calibri" w:hAnsiTheme="minorBidi" w:cstheme="minorBidi"/>
          <w:sz w:val="24"/>
          <w:szCs w:val="24"/>
        </w:rPr>
        <w:br w:type="page"/>
      </w:r>
    </w:p>
    <w:p w14:paraId="2203F9AC" w14:textId="77777777" w:rsidR="00FC7886" w:rsidRPr="00917646" w:rsidRDefault="00FC7886" w:rsidP="00917646">
      <w:pPr>
        <w:spacing w:before="140" w:after="100" w:line="360" w:lineRule="auto"/>
        <w:jc w:val="left"/>
        <w:rPr>
          <w:rFonts w:asciiTheme="minorBidi" w:hAnsiTheme="minorBidi" w:cstheme="minorBidi"/>
          <w:b/>
          <w:bCs/>
          <w:sz w:val="24"/>
          <w:szCs w:val="24"/>
        </w:rPr>
      </w:pPr>
      <w:bookmarkStart w:id="13" w:name="_Toc433792683"/>
      <w:bookmarkStart w:id="14" w:name="_Toc9187315"/>
      <w:bookmarkStart w:id="15" w:name="_Toc512430225"/>
      <w:bookmarkEnd w:id="12"/>
      <w:r w:rsidRPr="00917646">
        <w:rPr>
          <w:rFonts w:asciiTheme="minorBidi" w:hAnsiTheme="minorBidi" w:cstheme="minorBidi"/>
          <w:b/>
          <w:bCs/>
          <w:sz w:val="24"/>
          <w:szCs w:val="24"/>
        </w:rPr>
        <w:lastRenderedPageBreak/>
        <w:t>Market risk</w:t>
      </w:r>
      <w:bookmarkEnd w:id="13"/>
      <w:bookmarkEnd w:id="14"/>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"Market risk" </w:instrText>
      </w:r>
      <w:r w:rsidRPr="00917646">
        <w:rPr>
          <w:rFonts w:asciiTheme="minorBidi" w:hAnsiTheme="minorBidi" w:cstheme="minorBidi"/>
          <w:b/>
          <w:bCs/>
          <w:sz w:val="24"/>
          <w:szCs w:val="24"/>
        </w:rPr>
        <w:fldChar w:fldCharType="end"/>
      </w:r>
    </w:p>
    <w:bookmarkEnd w:id="15"/>
    <w:p w14:paraId="0D8E0D76" w14:textId="77777777" w:rsidR="000F7CC1" w:rsidRPr="00201D08" w:rsidRDefault="00FC7886" w:rsidP="00A47FAA">
      <w:pPr>
        <w:spacing w:before="40" w:line="360" w:lineRule="auto"/>
        <w:rPr>
          <w:rFonts w:asciiTheme="minorBidi" w:hAnsiTheme="minorBidi" w:cstheme="minorBidi"/>
          <w:sz w:val="24"/>
          <w:szCs w:val="24"/>
        </w:rPr>
      </w:pPr>
      <w:r w:rsidRPr="00201D08">
        <w:rPr>
          <w:rFonts w:asciiTheme="minorBidi" w:hAnsiTheme="minorBidi" w:cstheme="minorBidi"/>
          <w:sz w:val="24"/>
          <w:szCs w:val="24"/>
        </w:rPr>
        <w:t>Market risk</w:t>
      </w:r>
      <w:r w:rsidRPr="00201D08">
        <w:rPr>
          <w:rFonts w:asciiTheme="minorBidi" w:hAnsiTheme="minorBidi" w:cstheme="minorBidi"/>
          <w:sz w:val="24"/>
          <w:szCs w:val="24"/>
        </w:rPr>
        <w:fldChar w:fldCharType="begin"/>
      </w:r>
      <w:r w:rsidRPr="00201D08">
        <w:rPr>
          <w:rFonts w:asciiTheme="minorBidi" w:hAnsiTheme="minorBidi" w:cstheme="minorBidi"/>
          <w:sz w:val="24"/>
          <w:szCs w:val="24"/>
        </w:rPr>
        <w:instrText xml:space="preserve"> XE "Market risk" </w:instrText>
      </w:r>
      <w:r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 This is the risk of loss from on– and off-balance sheet positions, arising from change in fair value</w:t>
      </w:r>
      <w:r w:rsidR="00D757CA" w:rsidRPr="00201D08">
        <w:rPr>
          <w:rFonts w:asciiTheme="minorBidi" w:hAnsiTheme="minorBidi" w:cstheme="minorBidi"/>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fair value</w:instrText>
      </w:r>
      <w:r w:rsidR="00D757CA" w:rsidRPr="00201D08">
        <w:rPr>
          <w:sz w:val="24"/>
          <w:szCs w:val="24"/>
        </w:rPr>
        <w:instrText xml:space="preserve">" </w:instrText>
      </w:r>
      <w:r w:rsidR="00D757CA"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of financial instruments, due to change in market risk</w:t>
      </w:r>
      <w:r w:rsidR="00D757CA" w:rsidRPr="00201D08">
        <w:rPr>
          <w:rFonts w:asciiTheme="minorBidi" w:hAnsiTheme="minorBidi" w:cstheme="minorBidi"/>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market risk</w:instrText>
      </w:r>
      <w:r w:rsidR="00D757CA" w:rsidRPr="00201D08">
        <w:rPr>
          <w:sz w:val="24"/>
          <w:szCs w:val="24"/>
        </w:rPr>
        <w:instrText xml:space="preserve">" </w:instrText>
      </w:r>
      <w:r w:rsidR="00D757CA"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factors (interest rates, exchange rates, inflation, prices of equities and commodities). </w:t>
      </w:r>
    </w:p>
    <w:p w14:paraId="1DA71068" w14:textId="77777777" w:rsidR="000F7CC1" w:rsidRPr="00201D08" w:rsidRDefault="000F7CC1" w:rsidP="00A47FAA">
      <w:pPr>
        <w:spacing w:before="40" w:line="360" w:lineRule="auto"/>
        <w:rPr>
          <w:rFonts w:asciiTheme="minorBidi" w:hAnsiTheme="minorBidi" w:cstheme="minorBidi"/>
          <w:sz w:val="24"/>
          <w:szCs w:val="24"/>
        </w:rPr>
      </w:pPr>
    </w:p>
    <w:p w14:paraId="2D2D2386" w14:textId="77777777" w:rsidR="000F7CC1" w:rsidRPr="00201D08" w:rsidRDefault="00FC7886" w:rsidP="00A47FAA">
      <w:pPr>
        <w:spacing w:before="40" w:line="360" w:lineRule="auto"/>
        <w:rPr>
          <w:rFonts w:asciiTheme="minorBidi" w:hAnsiTheme="minorBidi" w:cstheme="minorBidi"/>
          <w:sz w:val="24"/>
          <w:szCs w:val="24"/>
        </w:rPr>
      </w:pPr>
      <w:r w:rsidRPr="00201D08">
        <w:rPr>
          <w:rFonts w:asciiTheme="minorBidi" w:hAnsiTheme="minorBidi" w:cstheme="minorBidi"/>
          <w:sz w:val="24"/>
          <w:szCs w:val="24"/>
        </w:rPr>
        <w:t xml:space="preserve">The Bank has no exposure to commodities and its exposure to equities is not material, so that Bank exposure to such risk is primarily due to basis risk – the risk exists when the Bank's assets and liabilities are denominated in different currencies or are in different linkage segments – and from interest rate risk, which the risk to Bank profit and to Bank capital, primarily due to fluctuations in interest rates, fluctuations of various curves used by the Bank in its business operations or from the fact that a change in interest rates may result in a change in composition of the Bank's assets and liabilities due to exercise of options for early repayment due to change in market interest rates. </w:t>
      </w:r>
    </w:p>
    <w:p w14:paraId="37B898EE" w14:textId="77777777" w:rsidR="000F7CC1" w:rsidRPr="00201D08" w:rsidRDefault="000F7CC1" w:rsidP="00A47FAA">
      <w:pPr>
        <w:spacing w:before="40" w:line="360" w:lineRule="auto"/>
        <w:rPr>
          <w:rFonts w:asciiTheme="minorBidi" w:hAnsiTheme="minorBidi" w:cstheme="minorBidi"/>
          <w:sz w:val="24"/>
          <w:szCs w:val="24"/>
        </w:rPr>
      </w:pPr>
    </w:p>
    <w:p w14:paraId="3FCFC6B7" w14:textId="77777777" w:rsidR="00FC7886" w:rsidRPr="00201D08" w:rsidRDefault="00FC7886" w:rsidP="00A47FAA">
      <w:pPr>
        <w:spacing w:before="40" w:line="360" w:lineRule="auto"/>
        <w:rPr>
          <w:rFonts w:asciiTheme="minorBidi" w:hAnsiTheme="minorBidi" w:cstheme="minorBidi"/>
          <w:spacing w:val="-2"/>
          <w:sz w:val="24"/>
          <w:szCs w:val="24"/>
        </w:rPr>
      </w:pPr>
      <w:r w:rsidRPr="00201D08">
        <w:rPr>
          <w:rFonts w:asciiTheme="minorBidi" w:hAnsiTheme="minorBidi" w:cstheme="minorBidi"/>
          <w:spacing w:val="-2"/>
          <w:sz w:val="24"/>
          <w:szCs w:val="24"/>
        </w:rPr>
        <w:t>Changes in interest rates impact Bank profits (change in revenues) and the value of Bank assets (change in fair value</w:t>
      </w:r>
      <w:r w:rsidR="00D757CA" w:rsidRPr="00201D08">
        <w:rPr>
          <w:rFonts w:asciiTheme="minorBidi" w:hAnsiTheme="minorBidi" w:cstheme="minorBidi"/>
          <w:spacing w:val="-2"/>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fair value</w:instrText>
      </w:r>
      <w:r w:rsidR="00D757CA" w:rsidRPr="00201D08">
        <w:rPr>
          <w:sz w:val="24"/>
          <w:szCs w:val="24"/>
        </w:rPr>
        <w:instrText xml:space="preserve">" </w:instrText>
      </w:r>
      <w:r w:rsidR="00D757CA" w:rsidRPr="00201D08">
        <w:rPr>
          <w:rFonts w:asciiTheme="minorBidi" w:hAnsiTheme="minorBidi" w:cstheme="minorBidi"/>
          <w:spacing w:val="-2"/>
          <w:sz w:val="24"/>
          <w:szCs w:val="24"/>
        </w:rPr>
        <w:fldChar w:fldCharType="end"/>
      </w:r>
      <w:r w:rsidRPr="00201D08">
        <w:rPr>
          <w:rFonts w:asciiTheme="minorBidi" w:hAnsiTheme="minorBidi" w:cstheme="minorBidi"/>
          <w:spacing w:val="-2"/>
          <w:sz w:val="24"/>
          <w:szCs w:val="24"/>
        </w:rPr>
        <w:t>).</w:t>
      </w:r>
    </w:p>
    <w:p w14:paraId="210735AC" w14:textId="77777777" w:rsidR="009D45AC" w:rsidRPr="00201D08" w:rsidRDefault="009D45AC" w:rsidP="00A47FAA">
      <w:pPr>
        <w:tabs>
          <w:tab w:val="left" w:pos="329"/>
        </w:tabs>
        <w:spacing w:before="40" w:line="360" w:lineRule="auto"/>
        <w:rPr>
          <w:rFonts w:asciiTheme="minorBidi" w:eastAsia="Calibri" w:hAnsiTheme="minorBidi" w:cstheme="minorBidi"/>
          <w:spacing w:val="-2"/>
          <w:sz w:val="24"/>
          <w:szCs w:val="24"/>
        </w:rPr>
      </w:pPr>
      <w:r w:rsidRPr="00201D08">
        <w:rPr>
          <w:rFonts w:asciiTheme="minorBidi" w:hAnsiTheme="minorBidi" w:cstheme="minorBidi"/>
          <w:spacing w:val="-2"/>
          <w:sz w:val="24"/>
          <w:szCs w:val="24"/>
        </w:rPr>
        <w:t>For more information about market risk</w:t>
      </w:r>
      <w:r w:rsidR="00D757CA" w:rsidRPr="00201D08">
        <w:rPr>
          <w:rFonts w:asciiTheme="minorBidi" w:hAnsiTheme="minorBidi" w:cstheme="minorBidi"/>
          <w:spacing w:val="-2"/>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market risk</w:instrText>
      </w:r>
      <w:r w:rsidR="00D757CA" w:rsidRPr="00201D08">
        <w:rPr>
          <w:sz w:val="24"/>
          <w:szCs w:val="24"/>
        </w:rPr>
        <w:instrText xml:space="preserve">" </w:instrText>
      </w:r>
      <w:r w:rsidR="00D757CA" w:rsidRPr="00201D08">
        <w:rPr>
          <w:rFonts w:asciiTheme="minorBidi" w:hAnsiTheme="minorBidi" w:cstheme="minorBidi"/>
          <w:spacing w:val="-2"/>
          <w:sz w:val="24"/>
          <w:szCs w:val="24"/>
        </w:rPr>
        <w:fldChar w:fldCharType="end"/>
      </w:r>
      <w:r w:rsidRPr="00201D08">
        <w:rPr>
          <w:rFonts w:asciiTheme="minorBidi" w:hAnsiTheme="minorBidi" w:cstheme="minorBidi"/>
          <w:spacing w:val="-2"/>
          <w:sz w:val="24"/>
          <w:szCs w:val="24"/>
        </w:rPr>
        <w:t>, see chapter "Market risk" in the 2018 Risks Report, available on the Bank website.</w:t>
      </w:r>
    </w:p>
    <w:p w14:paraId="2CA2BD22" w14:textId="77777777" w:rsidR="009D45AC" w:rsidRPr="00201D08" w:rsidRDefault="009D45AC" w:rsidP="00A47FAA">
      <w:pPr>
        <w:spacing w:before="40" w:line="360" w:lineRule="auto"/>
        <w:rPr>
          <w:rFonts w:asciiTheme="minorBidi" w:hAnsiTheme="minorBidi" w:cstheme="minorBidi"/>
          <w:sz w:val="24"/>
          <w:szCs w:val="24"/>
          <w:rtl/>
        </w:rPr>
      </w:pPr>
    </w:p>
    <w:p w14:paraId="7A3E9D49" w14:textId="77777777" w:rsidR="00FC7886" w:rsidRPr="00917646" w:rsidRDefault="00FC7886" w:rsidP="00917646">
      <w:pPr>
        <w:spacing w:before="140" w:after="100" w:line="360" w:lineRule="auto"/>
        <w:jc w:val="left"/>
        <w:rPr>
          <w:rFonts w:asciiTheme="minorBidi" w:hAnsiTheme="minorBidi" w:cstheme="minorBidi"/>
          <w:b/>
          <w:bCs/>
          <w:sz w:val="24"/>
          <w:szCs w:val="24"/>
        </w:rPr>
      </w:pPr>
      <w:bookmarkStart w:id="16" w:name="_Toc9187317"/>
      <w:bookmarkStart w:id="17" w:name="_Toc512430237"/>
      <w:bookmarkStart w:id="18" w:name="_Toc433792685"/>
      <w:bookmarkStart w:id="19" w:name="_Toc512430230"/>
      <w:r w:rsidRPr="00917646">
        <w:rPr>
          <w:rFonts w:asciiTheme="minorBidi" w:hAnsiTheme="minorBidi" w:cstheme="minorBidi"/>
          <w:b/>
          <w:bCs/>
          <w:sz w:val="24"/>
          <w:szCs w:val="24"/>
        </w:rPr>
        <w:t>Liquidity risk</w:t>
      </w:r>
      <w:bookmarkEnd w:id="16"/>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"Liquidity risk" </w:instrText>
      </w:r>
      <w:r w:rsidRPr="00917646">
        <w:rPr>
          <w:rFonts w:asciiTheme="minorBidi" w:hAnsiTheme="minorBidi" w:cstheme="minorBidi"/>
          <w:b/>
          <w:bCs/>
          <w:sz w:val="24"/>
          <w:szCs w:val="24"/>
        </w:rPr>
        <w:fldChar w:fldCharType="end"/>
      </w:r>
      <w:bookmarkEnd w:id="17"/>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"Financing" </w:instrText>
      </w:r>
      <w:r w:rsidRPr="00917646">
        <w:rPr>
          <w:rFonts w:asciiTheme="minorBidi" w:hAnsiTheme="minorBidi" w:cstheme="minorBidi"/>
          <w:b/>
          <w:bCs/>
          <w:sz w:val="24"/>
          <w:szCs w:val="24"/>
        </w:rPr>
        <w:fldChar w:fldCharType="end"/>
      </w:r>
    </w:p>
    <w:p w14:paraId="4F24F4DA" w14:textId="77777777" w:rsidR="00FC7886" w:rsidRPr="00201D08" w:rsidRDefault="00FC7886" w:rsidP="00A47FAA">
      <w:pPr>
        <w:tabs>
          <w:tab w:val="left" w:pos="329"/>
        </w:tabs>
        <w:spacing w:before="40" w:line="360" w:lineRule="auto"/>
        <w:rPr>
          <w:rFonts w:asciiTheme="minorBidi" w:eastAsia="Calibri" w:hAnsiTheme="minorBidi" w:cstheme="minorBidi"/>
          <w:sz w:val="24"/>
          <w:szCs w:val="24"/>
        </w:rPr>
      </w:pPr>
      <w:bookmarkStart w:id="20" w:name="_Toc442643742"/>
      <w:bookmarkStart w:id="21" w:name="_Toc512430238"/>
      <w:r w:rsidRPr="00201D08">
        <w:rPr>
          <w:rFonts w:asciiTheme="minorBidi" w:hAnsiTheme="minorBidi" w:cstheme="minorBidi"/>
          <w:sz w:val="24"/>
          <w:szCs w:val="24"/>
        </w:rPr>
        <w:t>Liquidity risk</w:t>
      </w:r>
      <w:r w:rsidRPr="00201D08">
        <w:rPr>
          <w:rFonts w:asciiTheme="minorBidi" w:eastAsia="Calibri" w:hAnsiTheme="minorBidi" w:cstheme="minorBidi"/>
          <w:sz w:val="24"/>
          <w:szCs w:val="24"/>
        </w:rPr>
        <w:fldChar w:fldCharType="begin"/>
      </w:r>
      <w:r w:rsidRPr="00201D08">
        <w:rPr>
          <w:rFonts w:asciiTheme="minorBidi" w:hAnsiTheme="minorBidi" w:cstheme="minorBidi"/>
          <w:sz w:val="24"/>
          <w:szCs w:val="24"/>
        </w:rPr>
        <w:instrText xml:space="preserve"> XE "Liquidity risk" </w:instrText>
      </w:r>
      <w:r w:rsidRPr="00201D08">
        <w:rPr>
          <w:rFonts w:asciiTheme="minorBidi" w:eastAsia="Calibri" w:hAnsiTheme="minorBidi" w:cstheme="minorBidi"/>
          <w:sz w:val="24"/>
          <w:szCs w:val="24"/>
        </w:rPr>
        <w:fldChar w:fldCharType="end"/>
      </w:r>
      <w:r w:rsidRPr="00201D08">
        <w:rPr>
          <w:rFonts w:asciiTheme="minorBidi" w:hAnsiTheme="minorBidi" w:cstheme="minorBidi"/>
          <w:sz w:val="24"/>
          <w:szCs w:val="24"/>
        </w:rPr>
        <w:t xml:space="preserve"> – risk resulting from uncertainty as to the availability of sources and the ability to realize assets within a specified period of time and at a reasonable price.</w:t>
      </w:r>
    </w:p>
    <w:p w14:paraId="57D2286F" w14:textId="77777777" w:rsidR="000F7CC1" w:rsidRPr="00201D08" w:rsidRDefault="00FC7886" w:rsidP="00A47FAA">
      <w:pPr>
        <w:spacing w:before="40" w:line="360" w:lineRule="auto"/>
        <w:rPr>
          <w:rFonts w:asciiTheme="minorBidi" w:hAnsiTheme="minorBidi" w:cstheme="minorBidi"/>
          <w:sz w:val="24"/>
          <w:szCs w:val="24"/>
        </w:rPr>
      </w:pPr>
      <w:r w:rsidRPr="00201D08">
        <w:rPr>
          <w:rFonts w:asciiTheme="minorBidi" w:hAnsiTheme="minorBidi" w:cstheme="minorBidi"/>
          <w:sz w:val="24"/>
          <w:szCs w:val="24"/>
        </w:rPr>
        <w:t xml:space="preserve">Liquidity risk is a material and unique, due to the need to respond to it in the shortest possible time. </w:t>
      </w:r>
    </w:p>
    <w:p w14:paraId="346610FA" w14:textId="77777777" w:rsidR="00FC7886" w:rsidRPr="00201D08" w:rsidRDefault="00FC7886" w:rsidP="00A47FAA">
      <w:pPr>
        <w:spacing w:before="40" w:line="360" w:lineRule="auto"/>
        <w:rPr>
          <w:rFonts w:asciiTheme="minorBidi" w:hAnsiTheme="minorBidi" w:cstheme="minorBidi"/>
          <w:spacing w:val="-4"/>
          <w:sz w:val="24"/>
          <w:szCs w:val="24"/>
        </w:rPr>
      </w:pPr>
      <w:r w:rsidRPr="00201D08">
        <w:rPr>
          <w:rFonts w:asciiTheme="minorBidi" w:hAnsiTheme="minorBidi" w:cstheme="minorBidi"/>
          <w:spacing w:val="-4"/>
          <w:sz w:val="24"/>
          <w:szCs w:val="24"/>
        </w:rPr>
        <w:t>Risk materialization may cause the Bank to incur significant loss and may even result in collapse of the Bank.</w:t>
      </w:r>
    </w:p>
    <w:p w14:paraId="615F8F27" w14:textId="57ADECAA" w:rsidR="00FC7886" w:rsidRPr="00C75BEA" w:rsidRDefault="009D45AC" w:rsidP="00C75BEA">
      <w:pPr>
        <w:tabs>
          <w:tab w:val="left" w:pos="329"/>
        </w:tabs>
        <w:spacing w:before="40" w:line="360" w:lineRule="auto"/>
        <w:rPr>
          <w:rFonts w:asciiTheme="minorBidi" w:eastAsia="Calibri" w:hAnsiTheme="minorBidi" w:cstheme="minorBidi"/>
          <w:spacing w:val="-4"/>
          <w:sz w:val="24"/>
          <w:szCs w:val="24"/>
        </w:rPr>
      </w:pPr>
      <w:r w:rsidRPr="00201D08">
        <w:rPr>
          <w:rFonts w:asciiTheme="minorBidi" w:hAnsiTheme="minorBidi" w:cstheme="minorBidi"/>
          <w:spacing w:val="-4"/>
          <w:sz w:val="24"/>
          <w:szCs w:val="24"/>
        </w:rPr>
        <w:lastRenderedPageBreak/>
        <w:t>For more information about liquidity risk</w:t>
      </w:r>
      <w:r w:rsidR="00D757CA" w:rsidRPr="00201D08">
        <w:rPr>
          <w:rFonts w:asciiTheme="minorBidi" w:hAnsiTheme="minorBidi" w:cstheme="minorBidi"/>
          <w:spacing w:val="-4"/>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liquidity risk</w:instrText>
      </w:r>
      <w:r w:rsidR="00D757CA" w:rsidRPr="00201D08">
        <w:rPr>
          <w:sz w:val="24"/>
          <w:szCs w:val="24"/>
        </w:rPr>
        <w:instrText xml:space="preserve">" </w:instrText>
      </w:r>
      <w:r w:rsidR="00D757CA" w:rsidRPr="00201D08">
        <w:rPr>
          <w:rFonts w:asciiTheme="minorBidi" w:hAnsiTheme="minorBidi" w:cstheme="minorBidi"/>
          <w:spacing w:val="-4"/>
          <w:sz w:val="24"/>
          <w:szCs w:val="24"/>
        </w:rPr>
        <w:fldChar w:fldCharType="end"/>
      </w:r>
      <w:r w:rsidRPr="00201D08">
        <w:rPr>
          <w:rFonts w:asciiTheme="minorBidi" w:hAnsiTheme="minorBidi" w:cstheme="minorBidi"/>
          <w:spacing w:val="-4"/>
          <w:sz w:val="24"/>
          <w:szCs w:val="24"/>
        </w:rPr>
        <w:t>, see chapter "Liquidity risk" in the 2018 Risks Report, available on the Bank website.</w:t>
      </w:r>
      <w:r w:rsidR="00FC7886" w:rsidRPr="00F6277F">
        <w:rPr>
          <w:rFonts w:asciiTheme="minorBidi" w:hAnsiTheme="minorBidi" w:cstheme="minorBidi"/>
        </w:rPr>
        <w:br w:type="page"/>
      </w:r>
    </w:p>
    <w:p w14:paraId="2A03B318" w14:textId="77777777" w:rsidR="00FC7886" w:rsidRPr="00F6277F" w:rsidRDefault="00FC7886" w:rsidP="00A47FAA">
      <w:pPr>
        <w:spacing w:before="300" w:after="120" w:line="360" w:lineRule="auto"/>
        <w:rPr>
          <w:rFonts w:asciiTheme="minorBidi" w:hAnsiTheme="minorBidi" w:cstheme="minorBidi"/>
          <w:b/>
          <w:bCs/>
          <w:sz w:val="24"/>
          <w:szCs w:val="24"/>
        </w:rPr>
      </w:pPr>
      <w:r w:rsidRPr="00F6277F">
        <w:rPr>
          <w:rFonts w:asciiTheme="minorBidi" w:hAnsiTheme="minorBidi" w:cstheme="minorBidi"/>
          <w:b/>
          <w:bCs/>
          <w:sz w:val="24"/>
          <w:szCs w:val="24"/>
        </w:rPr>
        <w:lastRenderedPageBreak/>
        <w:t>Key factors that impact the results of liquidity coverage ratio</w:t>
      </w:r>
    </w:p>
    <w:p w14:paraId="6AFA7715" w14:textId="77777777" w:rsidR="000F7CC1"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The major factors affecting the liquidity coverage ratio results are composition of Bank sources and uses. </w:t>
      </w:r>
    </w:p>
    <w:p w14:paraId="25B758E4" w14:textId="77777777" w:rsidR="000F7CC1"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High-Quality Liquid Assets ("HQLA") are Level 1 assets, which are typically highly negotiable and associated with low risk. These include cash, current accounts and deposits with central banks, debentures of sovereigns with a 0% risk weighting and debentures of the State of Israel. </w:t>
      </w:r>
    </w:p>
    <w:p w14:paraId="05D9EAD7" w14:textId="77777777" w:rsidR="000F7CC1"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Cash outflows primarily consist of unsecured wholesale financing</w:t>
      </w:r>
      <w:r w:rsidRPr="00201D08">
        <w:rPr>
          <w:rFonts w:asciiTheme="minorBidi" w:hAnsiTheme="minorBidi" w:cstheme="minorBidi"/>
          <w:sz w:val="24"/>
          <w:szCs w:val="24"/>
        </w:rPr>
        <w:fldChar w:fldCharType="begin"/>
      </w:r>
      <w:r w:rsidRPr="00201D08">
        <w:rPr>
          <w:rFonts w:asciiTheme="minorBidi" w:hAnsiTheme="minorBidi" w:cstheme="minorBidi"/>
          <w:sz w:val="24"/>
          <w:szCs w:val="24"/>
        </w:rPr>
        <w:instrText xml:space="preserve"> XE "Financing" </w:instrText>
      </w:r>
      <w:r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 deposits which corporations and financial institutions deposited with the Bank, as well as outflows with respect to exposure to derivatives</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derivatives</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w:t>
      </w:r>
    </w:p>
    <w:p w14:paraId="1412DC93" w14:textId="77777777" w:rsidR="00FC7886"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Cash inflows primarily consist of credit receipts and inflows with respect to exposure to derivatives</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derivatives</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w:t>
      </w:r>
    </w:p>
    <w:p w14:paraId="32A4BC29" w14:textId="77777777" w:rsidR="000F7CC1" w:rsidRPr="00201D08" w:rsidRDefault="005147CB"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The ratio is primarily cyclical and may be forecast based on internal estimates by the Bank. </w:t>
      </w:r>
    </w:p>
    <w:p w14:paraId="74D332AE" w14:textId="77777777" w:rsidR="000F7CC1" w:rsidRPr="00201D08" w:rsidRDefault="005147CB"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The key factor which affects evolution of this ratio over time is growth in Bank business, both in raising and management of source composition and increase in uses. </w:t>
      </w:r>
    </w:p>
    <w:p w14:paraId="654C297B" w14:textId="77777777" w:rsidR="005147CB" w:rsidRPr="00201D08" w:rsidRDefault="005147CB"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There is some volatility between days of the month, due to current activity of clients and interchangeability between NIS and foreign currency, primarily due to activity in NIS / foreign currency derivatives</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derivatives</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w:t>
      </w:r>
    </w:p>
    <w:bookmarkEnd w:id="18"/>
    <w:bookmarkEnd w:id="19"/>
    <w:bookmarkEnd w:id="20"/>
    <w:bookmarkEnd w:id="21"/>
    <w:p w14:paraId="35E03FA8" w14:textId="77777777" w:rsidR="005147CB" w:rsidRPr="00B31F2A" w:rsidRDefault="005147CB" w:rsidP="00A47FAA">
      <w:pPr>
        <w:spacing w:before="40" w:after="120" w:line="360" w:lineRule="auto"/>
        <w:rPr>
          <w:rFonts w:asciiTheme="minorBidi" w:hAnsiTheme="minorBidi" w:cstheme="minorBidi"/>
          <w:szCs w:val="18"/>
          <w:rtl/>
        </w:rPr>
      </w:pPr>
    </w:p>
    <w:sectPr w:rsidR="005147CB" w:rsidRPr="00B31F2A" w:rsidSect="003D0427">
      <w:headerReference w:type="even" r:id="rId14"/>
      <w:footnotePr>
        <w:pos w:val="beneathText"/>
        <w:numRestart w:val="eachPage"/>
      </w:footnotePr>
      <w:type w:val="continuous"/>
      <w:pgSz w:w="11907" w:h="16840" w:code="9"/>
      <w:pgMar w:top="1440" w:right="1304" w:bottom="1871" w:left="1304" w:header="720" w:footer="1134"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C5F5D" w14:textId="77777777" w:rsidR="0037648A" w:rsidRDefault="0037648A">
      <w:r>
        <w:separator/>
      </w:r>
    </w:p>
    <w:p w14:paraId="114351B9" w14:textId="77777777" w:rsidR="0037648A" w:rsidRDefault="0037648A"/>
  </w:endnote>
  <w:endnote w:type="continuationSeparator" w:id="0">
    <w:p w14:paraId="2951F711" w14:textId="77777777" w:rsidR="0037648A" w:rsidRDefault="0037648A">
      <w:r>
        <w:continuationSeparator/>
      </w:r>
    </w:p>
    <w:p w14:paraId="48800883" w14:textId="77777777" w:rsidR="0037648A" w:rsidRDefault="0037648A"/>
  </w:endnote>
  <w:endnote w:type="continuationNotice" w:id="1">
    <w:p w14:paraId="34D92AC5" w14:textId="77777777" w:rsidR="0037648A" w:rsidRDefault="0037648A"/>
    <w:p w14:paraId="0A4A8E87" w14:textId="77777777" w:rsidR="0037648A" w:rsidRDefault="003764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riam">
    <w:charset w:val="00"/>
    <w:family w:val="swiss"/>
    <w:pitch w:val="variable"/>
    <w:sig w:usb0="00000803" w:usb1="00000000" w:usb2="00000000" w:usb3="00000000" w:csb0="00000021" w:csb1="00000000"/>
  </w:font>
  <w:font w:name="David">
    <w:charset w:val="00"/>
    <w:family w:val="swiss"/>
    <w:pitch w:val="variable"/>
    <w:sig w:usb0="00000803" w:usb1="00000000" w:usb2="00000000" w:usb3="00000000" w:csb0="00000021" w:csb1="00000000"/>
  </w:font>
  <w:font w:name="OronBlackMF">
    <w:charset w:val="B1"/>
    <w:family w:val="auto"/>
    <w:pitch w:val="variable"/>
    <w:sig w:usb0="00001801" w:usb1="00000000" w:usb2="00000000" w:usb3="00000000" w:csb0="00000020" w:csb1="00000000"/>
  </w:font>
  <w:font w:name="OronMF">
    <w:charset w:val="B1"/>
    <w:family w:val="auto"/>
    <w:pitch w:val="variable"/>
    <w:sig w:usb0="00001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Joker">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Univers 45 Light">
    <w:charset w:val="00"/>
    <w:family w:val="auto"/>
    <w:pitch w:val="variable"/>
    <w:sig w:usb0="80000023" w:usb1="00000000" w:usb2="00000000" w:usb3="00000000" w:csb0="00000001" w:csb1="00000000"/>
  </w:font>
  <w:font w:name="Univers LT Pro 45 Light">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Joker"/>
        <w:sz w:val="21"/>
        <w:szCs w:val="21"/>
      </w:rPr>
      <w:id w:val="1683783643"/>
      <w:docPartObj>
        <w:docPartGallery w:val="Page Numbers (Bottom of Page)"/>
        <w:docPartUnique/>
      </w:docPartObj>
    </w:sdtPr>
    <w:sdtEndPr/>
    <w:sdtContent>
      <w:p w14:paraId="2A53C200" w14:textId="77777777" w:rsidR="00144B72" w:rsidRDefault="00144B72" w:rsidP="00144B72">
        <w:pPr>
          <w:pStyle w:val="Footer"/>
          <w:rPr>
            <w:rFonts w:cs="Joker"/>
            <w:sz w:val="21"/>
            <w:szCs w:val="21"/>
          </w:rPr>
        </w:pPr>
      </w:p>
      <w:p w14:paraId="6A465170" w14:textId="77777777" w:rsidR="00144B72" w:rsidRDefault="00144B72" w:rsidP="00144B72">
        <w:pPr>
          <w:pStyle w:val="Footer"/>
          <w:rPr>
            <w:rFonts w:cs="Joker"/>
            <w:sz w:val="21"/>
            <w:szCs w:val="21"/>
          </w:rPr>
        </w:pPr>
        <w:r>
          <w:rPr>
            <w:rFonts w:cs="Joker"/>
            <w:sz w:val="21"/>
            <w:szCs w:val="21"/>
          </w:rPr>
          <w:t>----------------------------------------------------------------------------------------------------------------------------------------</w:t>
        </w:r>
      </w:p>
      <w:p w14:paraId="26AF34EB" w14:textId="77777777" w:rsidR="00144B72" w:rsidRDefault="00144B72" w:rsidP="00144B72">
        <w:pPr>
          <w:pStyle w:val="Footer"/>
          <w:rPr>
            <w:rFonts w:cs="Joker"/>
            <w:sz w:val="21"/>
            <w:szCs w:val="21"/>
          </w:rPr>
        </w:pPr>
      </w:p>
      <w:p w14:paraId="2A8DDF2F" w14:textId="77777777" w:rsidR="00144B72" w:rsidRDefault="00144B72" w:rsidP="00144B72">
        <w:pPr>
          <w:pStyle w:val="Footer"/>
          <w:rPr>
            <w:rFonts w:cs="Joker"/>
            <w:color w:val="002060"/>
            <w:sz w:val="24"/>
            <w:szCs w:val="24"/>
          </w:rPr>
        </w:pPr>
        <w:r w:rsidRPr="00144B72">
          <w:rPr>
            <w:rFonts w:cs="Joker"/>
            <w:color w:val="002060"/>
            <w:sz w:val="24"/>
            <w:szCs w:val="24"/>
          </w:rPr>
          <w:t>Accounting department           Charing Cross 5, London EN301549        Phone: +44 9315555</w:t>
        </w:r>
      </w:p>
      <w:p w14:paraId="1FB7D050" w14:textId="77777777" w:rsidR="00144B72" w:rsidRPr="00144B72" w:rsidRDefault="00144B72" w:rsidP="00144B72">
        <w:pPr>
          <w:pStyle w:val="Footer"/>
          <w:rPr>
            <w:rFonts w:cs="Joker"/>
            <w:color w:val="002060"/>
            <w:sz w:val="24"/>
            <w:szCs w:val="24"/>
          </w:rPr>
        </w:pPr>
      </w:p>
      <w:p w14:paraId="69BF566A" w14:textId="77777777" w:rsidR="00144B72" w:rsidRPr="007659D5" w:rsidRDefault="00144B72" w:rsidP="00144B72">
        <w:pPr>
          <w:pStyle w:val="Footer"/>
          <w:jc w:val="right"/>
          <w:rPr>
            <w:rFonts w:cs="Joker"/>
            <w:sz w:val="21"/>
            <w:szCs w:val="21"/>
          </w:rPr>
        </w:pPr>
        <w:r w:rsidRPr="007659D5">
          <w:rPr>
            <w:rFonts w:cs="Joker"/>
            <w:sz w:val="21"/>
            <w:szCs w:val="21"/>
          </w:rPr>
          <w:fldChar w:fldCharType="begin"/>
        </w:r>
        <w:r w:rsidRPr="007659D5">
          <w:rPr>
            <w:rFonts w:cs="Joker"/>
            <w:sz w:val="21"/>
            <w:szCs w:val="21"/>
          </w:rPr>
          <w:instrText>PAGE   \* MERGEFORMAT</w:instrText>
        </w:r>
        <w:r w:rsidRPr="007659D5">
          <w:rPr>
            <w:rFonts w:cs="Joker"/>
            <w:sz w:val="21"/>
            <w:szCs w:val="21"/>
          </w:rPr>
          <w:fldChar w:fldCharType="separate"/>
        </w:r>
        <w:r>
          <w:rPr>
            <w:rFonts w:cs="Joker"/>
            <w:sz w:val="21"/>
            <w:szCs w:val="21"/>
          </w:rPr>
          <w:t>1</w:t>
        </w:r>
        <w:r w:rsidRPr="007659D5">
          <w:rPr>
            <w:rFonts w:cs="Joker"/>
            <w:sz w:val="21"/>
            <w:szCs w:val="21"/>
          </w:rPr>
          <w:fldChar w:fldCharType="end"/>
        </w:r>
      </w:p>
    </w:sdtContent>
  </w:sdt>
  <w:p w14:paraId="49AA6034" w14:textId="22C2469B" w:rsidR="00231AC4" w:rsidRPr="004351ED" w:rsidRDefault="00231AC4" w:rsidP="00DA0A2F">
    <w:pPr>
      <w:pStyle w:val="Footer"/>
      <w:rPr>
        <w:rFonts w:cs="Joker"/>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Joker"/>
        <w:sz w:val="21"/>
        <w:szCs w:val="21"/>
      </w:rPr>
      <w:id w:val="525598364"/>
      <w:docPartObj>
        <w:docPartGallery w:val="Page Numbers (Bottom of Page)"/>
        <w:docPartUnique/>
      </w:docPartObj>
    </w:sdtPr>
    <w:sdtEndPr/>
    <w:sdtContent>
      <w:p w14:paraId="5329F6F5" w14:textId="77777777" w:rsidR="00144B72" w:rsidRDefault="00144B72" w:rsidP="00144B72">
        <w:pPr>
          <w:pStyle w:val="Footer"/>
          <w:rPr>
            <w:rFonts w:cs="Joker"/>
            <w:sz w:val="21"/>
            <w:szCs w:val="21"/>
          </w:rPr>
        </w:pPr>
      </w:p>
      <w:p w14:paraId="0D32C8F5" w14:textId="0F80629C" w:rsidR="00144B72" w:rsidRDefault="00144B72" w:rsidP="00144B72">
        <w:pPr>
          <w:pStyle w:val="Footer"/>
          <w:rPr>
            <w:rFonts w:cs="Joker"/>
            <w:sz w:val="21"/>
            <w:szCs w:val="21"/>
          </w:rPr>
        </w:pPr>
        <w:r>
          <w:rPr>
            <w:rFonts w:cs="Joker"/>
            <w:sz w:val="21"/>
            <w:szCs w:val="21"/>
          </w:rPr>
          <w:t>----------------------------------------------------------------------------------------------------------------------------------------</w:t>
        </w:r>
      </w:p>
      <w:p w14:paraId="3C943794" w14:textId="38C21078" w:rsidR="00144B72" w:rsidRDefault="00144B72" w:rsidP="00144B72">
        <w:pPr>
          <w:pStyle w:val="Footer"/>
          <w:rPr>
            <w:rFonts w:cs="Joker"/>
            <w:sz w:val="21"/>
            <w:szCs w:val="21"/>
          </w:rPr>
        </w:pPr>
      </w:p>
      <w:p w14:paraId="5A45C011" w14:textId="2F20F914" w:rsidR="00144B72" w:rsidRDefault="00144B72" w:rsidP="00144B72">
        <w:pPr>
          <w:pStyle w:val="Footer"/>
          <w:rPr>
            <w:rFonts w:cs="Joker"/>
            <w:color w:val="002060"/>
            <w:sz w:val="24"/>
            <w:szCs w:val="24"/>
          </w:rPr>
        </w:pPr>
        <w:r w:rsidRPr="00144B72">
          <w:rPr>
            <w:rFonts w:cs="Joker"/>
            <w:color w:val="002060"/>
            <w:sz w:val="24"/>
            <w:szCs w:val="24"/>
          </w:rPr>
          <w:t>Accounting department           Charing Cross 5, London EN301549        Phone: +44 9315555</w:t>
        </w:r>
      </w:p>
      <w:p w14:paraId="1F004F15" w14:textId="77777777" w:rsidR="00144B72" w:rsidRPr="00144B72" w:rsidRDefault="00144B72" w:rsidP="00144B72">
        <w:pPr>
          <w:pStyle w:val="Footer"/>
          <w:rPr>
            <w:rFonts w:cs="Joker"/>
            <w:color w:val="002060"/>
            <w:sz w:val="24"/>
            <w:szCs w:val="24"/>
          </w:rPr>
        </w:pPr>
      </w:p>
      <w:p w14:paraId="400ABE19" w14:textId="40E6221E" w:rsidR="00231AC4" w:rsidRPr="007659D5" w:rsidRDefault="00231AC4" w:rsidP="00DA0A2F">
        <w:pPr>
          <w:pStyle w:val="Footer"/>
          <w:jc w:val="right"/>
          <w:rPr>
            <w:rFonts w:cs="Joker"/>
            <w:sz w:val="21"/>
            <w:szCs w:val="21"/>
          </w:rPr>
        </w:pPr>
        <w:r w:rsidRPr="007659D5">
          <w:rPr>
            <w:rFonts w:cs="Joker"/>
            <w:sz w:val="21"/>
            <w:szCs w:val="21"/>
          </w:rPr>
          <w:fldChar w:fldCharType="begin"/>
        </w:r>
        <w:r w:rsidRPr="007659D5">
          <w:rPr>
            <w:rFonts w:cs="Joker"/>
            <w:sz w:val="21"/>
            <w:szCs w:val="21"/>
          </w:rPr>
          <w:instrText>PAGE   \* MERGEFORMAT</w:instrText>
        </w:r>
        <w:r w:rsidRPr="007659D5">
          <w:rPr>
            <w:rFonts w:cs="Joker"/>
            <w:sz w:val="21"/>
            <w:szCs w:val="21"/>
          </w:rPr>
          <w:fldChar w:fldCharType="separate"/>
        </w:r>
        <w:r w:rsidR="00C70DB7">
          <w:rPr>
            <w:rFonts w:cs="Joker"/>
            <w:noProof/>
            <w:sz w:val="21"/>
            <w:szCs w:val="21"/>
          </w:rPr>
          <w:t>3</w:t>
        </w:r>
        <w:r w:rsidRPr="007659D5">
          <w:rPr>
            <w:rFonts w:cs="Joker"/>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F79449" w14:textId="77777777" w:rsidR="0037648A" w:rsidRDefault="0037648A">
      <w:r>
        <w:separator/>
      </w:r>
    </w:p>
    <w:p w14:paraId="5D00885D" w14:textId="77777777" w:rsidR="0037648A" w:rsidRDefault="0037648A"/>
  </w:footnote>
  <w:footnote w:type="continuationSeparator" w:id="0">
    <w:p w14:paraId="510127DB" w14:textId="77777777" w:rsidR="0037648A" w:rsidRDefault="0037648A">
      <w:r>
        <w:continuationSeparator/>
      </w:r>
    </w:p>
    <w:p w14:paraId="3462D340" w14:textId="77777777" w:rsidR="0037648A" w:rsidRDefault="0037648A"/>
  </w:footnote>
  <w:footnote w:type="continuationNotice" w:id="1">
    <w:p w14:paraId="4C44D18D" w14:textId="77777777" w:rsidR="0037648A" w:rsidRDefault="0037648A"/>
    <w:p w14:paraId="0727F314" w14:textId="77777777" w:rsidR="0037648A" w:rsidRDefault="003764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AAF89F" w14:textId="77777777" w:rsidR="00231AC4" w:rsidRPr="008E2965" w:rsidRDefault="00231AC4" w:rsidP="000D25F1">
    <w:pPr>
      <w:pStyle w:val="Header"/>
      <w:spacing w:line="300" w:lineRule="exact"/>
      <w:ind w:left="0"/>
      <w:jc w:val="right"/>
      <w:rPr>
        <w:rFonts w:cs="Joker"/>
        <w:b/>
        <w:bCs/>
        <w:sz w:val="24"/>
        <w:szCs w:val="28"/>
      </w:rPr>
    </w:pPr>
    <w:r>
      <w:rPr>
        <w:b/>
        <w:bCs/>
        <w:sz w:val="24"/>
        <w:szCs w:val="28"/>
      </w:rPr>
      <w:t>Risks Report</w:t>
    </w:r>
  </w:p>
  <w:p w14:paraId="3510CE98" w14:textId="77777777" w:rsidR="00231AC4" w:rsidRPr="008E2965" w:rsidRDefault="00231AC4" w:rsidP="00CB0E2F">
    <w:pPr>
      <w:pStyle w:val="Header"/>
      <w:spacing w:line="300" w:lineRule="exact"/>
      <w:ind w:left="0"/>
      <w:jc w:val="right"/>
      <w:rPr>
        <w:rFonts w:cs="Joker"/>
        <w:sz w:val="22"/>
        <w:szCs w:val="24"/>
      </w:rPr>
    </w:pPr>
    <w:r>
      <w:rPr>
        <w:sz w:val="22"/>
        <w:szCs w:val="24"/>
      </w:rPr>
      <w:t>As of March 31, 2019</w:t>
    </w:r>
  </w:p>
  <w:p w14:paraId="60D26719" w14:textId="77777777" w:rsidR="00231AC4" w:rsidRPr="000D25F1" w:rsidRDefault="00231AC4" w:rsidP="000D25F1">
    <w:pPr>
      <w:pStyle w:val="Header"/>
      <w:spacing w:line="300" w:lineRule="exact"/>
      <w:ind w:left="0"/>
      <w:jc w:val="right"/>
      <w:rPr>
        <w:rFonts w:cs="Joker"/>
        <w:sz w:val="22"/>
        <w:szCs w:val="24"/>
      </w:rPr>
    </w:pPr>
  </w:p>
  <w:p w14:paraId="02CA07AC" w14:textId="77777777" w:rsidR="00231AC4" w:rsidRPr="00FA2EB8" w:rsidRDefault="00231AC4" w:rsidP="000D25F1">
    <w:pPr>
      <w:pStyle w:val="Header"/>
      <w:spacing w:line="300" w:lineRule="exact"/>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B8BB5" w14:textId="77777777" w:rsidR="00231AC4" w:rsidRDefault="00231AC4" w:rsidP="00A35C73">
    <w:pPr>
      <w:pStyle w:val="Header"/>
      <w:spacing w:line="300" w:lineRule="exact"/>
      <w:ind w:left="0"/>
      <w:jc w:val="right"/>
      <w:rPr>
        <w:b/>
        <w:bCs/>
        <w:sz w:val="24"/>
        <w:szCs w:val="28"/>
      </w:rPr>
    </w:pPr>
  </w:p>
  <w:p w14:paraId="279B705A" w14:textId="77777777" w:rsidR="00231AC4" w:rsidRDefault="00231AC4" w:rsidP="008E2965">
    <w:pPr>
      <w:pStyle w:val="Header"/>
      <w:spacing w:line="300" w:lineRule="exact"/>
      <w:rPr>
        <w:sz w:val="22"/>
        <w:szCs w:val="24"/>
      </w:rPr>
    </w:pPr>
  </w:p>
  <w:p w14:paraId="1131FF1F" w14:textId="77777777" w:rsidR="00231AC4" w:rsidRDefault="00231AC4" w:rsidP="008E2965">
    <w:pPr>
      <w:pStyle w:val="Header"/>
      <w:spacing w:line="300" w:lineRule="exact"/>
      <w:rPr>
        <w:rtl/>
      </w:rPr>
    </w:pPr>
  </w:p>
  <w:p w14:paraId="4614F43F" w14:textId="77777777" w:rsidR="00231AC4" w:rsidRDefault="00231AC4" w:rsidP="008E2965">
    <w:pPr>
      <w:pStyle w:val="Header"/>
      <w:spacing w:line="30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7F1E41" w14:textId="77777777" w:rsidR="00231AC4" w:rsidRPr="008E2965" w:rsidRDefault="00231AC4" w:rsidP="00C004F8">
    <w:pPr>
      <w:pStyle w:val="Header"/>
      <w:spacing w:line="300" w:lineRule="exact"/>
      <w:ind w:left="0"/>
      <w:jc w:val="right"/>
      <w:rPr>
        <w:rFonts w:cs="Joker"/>
        <w:b/>
        <w:bCs/>
        <w:sz w:val="24"/>
        <w:szCs w:val="28"/>
      </w:rPr>
    </w:pPr>
    <w:r>
      <w:rPr>
        <w:b/>
        <w:bCs/>
        <w:sz w:val="24"/>
        <w:szCs w:val="28"/>
      </w:rPr>
      <w:t>Risks Report</w:t>
    </w:r>
  </w:p>
  <w:p w14:paraId="64B89AAC" w14:textId="77777777" w:rsidR="00231AC4" w:rsidRPr="008E2965" w:rsidRDefault="00231AC4" w:rsidP="00C004F8">
    <w:pPr>
      <w:pStyle w:val="Header"/>
      <w:spacing w:line="300" w:lineRule="exact"/>
      <w:ind w:left="0"/>
      <w:jc w:val="right"/>
      <w:rPr>
        <w:rFonts w:cs="Joker"/>
        <w:sz w:val="22"/>
        <w:szCs w:val="24"/>
      </w:rPr>
    </w:pPr>
    <w:r>
      <w:rPr>
        <w:sz w:val="22"/>
        <w:szCs w:val="24"/>
      </w:rPr>
      <w:t>As of March 31, 2019</w:t>
    </w:r>
  </w:p>
  <w:p w14:paraId="1912AA61" w14:textId="77777777" w:rsidR="00231AC4" w:rsidRPr="000D25F1" w:rsidRDefault="00231AC4" w:rsidP="000D25F1">
    <w:pPr>
      <w:pStyle w:val="Header"/>
      <w:spacing w:line="300" w:lineRule="exact"/>
      <w:ind w:left="0"/>
      <w:jc w:val="right"/>
      <w:rPr>
        <w:rFonts w:cs="Joker"/>
        <w:sz w:val="22"/>
        <w:szCs w:val="24"/>
      </w:rPr>
    </w:pPr>
  </w:p>
  <w:p w14:paraId="7C1F024F" w14:textId="77777777" w:rsidR="00231AC4" w:rsidRPr="00FA2EB8" w:rsidRDefault="00231AC4" w:rsidP="000D25F1">
    <w:pPr>
      <w:pStyle w:val="Header"/>
      <w:spacing w:line="300" w:lineRule="exact"/>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D6CCC786"/>
    <w:lvl w:ilvl="0">
      <w:start w:val="1"/>
      <w:numFmt w:val="chosung"/>
      <w:pStyle w:val="ListBullet"/>
      <w:lvlText w:val=""/>
      <w:lvlJc w:val="center"/>
      <w:pPr>
        <w:tabs>
          <w:tab w:val="num" w:pos="360"/>
        </w:tabs>
        <w:ind w:left="360" w:right="360" w:hanging="360"/>
      </w:pPr>
      <w:rPr>
        <w:rFonts w:ascii="Symbol" w:hAnsi="Symbol" w:hint="default"/>
      </w:rPr>
    </w:lvl>
  </w:abstractNum>
  <w:abstractNum w:abstractNumId="1" w15:restartNumberingAfterBreak="0">
    <w:nsid w:val="09DE34E6"/>
    <w:multiLevelType w:val="hybridMultilevel"/>
    <w:tmpl w:val="8D2C5712"/>
    <w:lvl w:ilvl="0" w:tplc="AD24BC20">
      <w:start w:val="1"/>
      <w:numFmt w:val="bullet"/>
      <w:lvlText w:val=""/>
      <w:lvlJc w:val="left"/>
      <w:pPr>
        <w:tabs>
          <w:tab w:val="num" w:pos="349"/>
        </w:tabs>
        <w:ind w:left="349" w:hanging="349"/>
      </w:pPr>
      <w:rPr>
        <w:rFonts w:ascii="Symbol" w:hAnsi="Symbol" w:hint="default"/>
        <w:color w:val="auto"/>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8A7EA5"/>
    <w:multiLevelType w:val="multilevel"/>
    <w:tmpl w:val="08306536"/>
    <w:lvl w:ilvl="0">
      <w:start w:val="8"/>
      <w:numFmt w:val="decimal"/>
      <w:lvlText w:val="%1"/>
      <w:lvlJc w:val="left"/>
      <w:pPr>
        <w:tabs>
          <w:tab w:val="num" w:pos="570"/>
        </w:tabs>
        <w:ind w:left="570" w:right="570" w:hanging="570"/>
      </w:pPr>
      <w:rPr>
        <w:rFonts w:hint="cs"/>
      </w:rPr>
    </w:lvl>
    <w:lvl w:ilvl="1">
      <w:start w:val="2"/>
      <w:numFmt w:val="decimal"/>
      <w:lvlText w:val="%1.%2"/>
      <w:lvlJc w:val="left"/>
      <w:pPr>
        <w:tabs>
          <w:tab w:val="num" w:pos="851"/>
        </w:tabs>
        <w:ind w:left="851" w:right="851" w:hanging="1418"/>
      </w:pPr>
      <w:rPr>
        <w:rFonts w:hint="cs"/>
      </w:rPr>
    </w:lvl>
    <w:lvl w:ilvl="2">
      <w:start w:val="1"/>
      <w:numFmt w:val="decimal"/>
      <w:pStyle w:val="Caption"/>
      <w:lvlText w:val="%1.%2.%3"/>
      <w:lvlJc w:val="left"/>
      <w:pPr>
        <w:tabs>
          <w:tab w:val="num" w:pos="851"/>
        </w:tabs>
        <w:ind w:left="851" w:right="851" w:hanging="1418"/>
      </w:pPr>
      <w:rPr>
        <w:rFonts w:hint="cs"/>
      </w:rPr>
    </w:lvl>
    <w:lvl w:ilvl="3">
      <w:start w:val="1"/>
      <w:numFmt w:val="decimal"/>
      <w:lvlText w:val="%1.%2.%3.%4"/>
      <w:lvlJc w:val="left"/>
      <w:pPr>
        <w:tabs>
          <w:tab w:val="num" w:pos="851"/>
        </w:tabs>
        <w:ind w:left="851" w:right="851" w:hanging="1418"/>
      </w:pPr>
      <w:rPr>
        <w:rFonts w:hint="cs"/>
      </w:rPr>
    </w:lvl>
    <w:lvl w:ilvl="4">
      <w:start w:val="1"/>
      <w:numFmt w:val="decimal"/>
      <w:lvlText w:val="%1.%2.%3.%4.%5"/>
      <w:lvlJc w:val="left"/>
      <w:pPr>
        <w:tabs>
          <w:tab w:val="num" w:pos="851"/>
        </w:tabs>
        <w:ind w:left="851" w:right="851" w:hanging="1418"/>
      </w:pPr>
      <w:rPr>
        <w:rFonts w:hint="cs"/>
      </w:rPr>
    </w:lvl>
    <w:lvl w:ilvl="5">
      <w:start w:val="1"/>
      <w:numFmt w:val="decimal"/>
      <w:lvlText w:val="%1.%2.%3.%4.%5.%6"/>
      <w:lvlJc w:val="left"/>
      <w:pPr>
        <w:tabs>
          <w:tab w:val="num" w:pos="851"/>
        </w:tabs>
        <w:ind w:left="851" w:right="851" w:hanging="1418"/>
      </w:pPr>
      <w:rPr>
        <w:rFonts w:hint="cs"/>
      </w:rPr>
    </w:lvl>
    <w:lvl w:ilvl="6">
      <w:start w:val="1"/>
      <w:numFmt w:val="decimal"/>
      <w:lvlText w:val="%1.%2.%3.%4.%5.%6.%7"/>
      <w:lvlJc w:val="left"/>
      <w:pPr>
        <w:tabs>
          <w:tab w:val="num" w:pos="-1962"/>
        </w:tabs>
        <w:ind w:left="-1962" w:right="-1962" w:hanging="1440"/>
      </w:pPr>
      <w:rPr>
        <w:rFonts w:hint="cs"/>
      </w:rPr>
    </w:lvl>
    <w:lvl w:ilvl="7">
      <w:start w:val="1"/>
      <w:numFmt w:val="decimal"/>
      <w:lvlText w:val="%1.%2.%3.%4.%5.%6.%7.%8"/>
      <w:lvlJc w:val="left"/>
      <w:pPr>
        <w:tabs>
          <w:tab w:val="num" w:pos="-2529"/>
        </w:tabs>
        <w:ind w:left="-2529" w:right="-2529" w:hanging="1440"/>
      </w:pPr>
      <w:rPr>
        <w:rFonts w:hint="cs"/>
      </w:rPr>
    </w:lvl>
    <w:lvl w:ilvl="8">
      <w:start w:val="1"/>
      <w:numFmt w:val="decimal"/>
      <w:lvlText w:val="%1.%2.%3.%4.%5.%6.%7.%8.%9"/>
      <w:lvlJc w:val="left"/>
      <w:pPr>
        <w:tabs>
          <w:tab w:val="num" w:pos="-2736"/>
        </w:tabs>
        <w:ind w:left="-2736" w:right="-2736" w:hanging="1800"/>
      </w:pPr>
      <w:rPr>
        <w:rFonts w:hint="cs"/>
      </w:rPr>
    </w:lvl>
  </w:abstractNum>
  <w:abstractNum w:abstractNumId="3" w15:restartNumberingAfterBreak="0">
    <w:nsid w:val="14373DAC"/>
    <w:multiLevelType w:val="hybridMultilevel"/>
    <w:tmpl w:val="2AE4DF2E"/>
    <w:lvl w:ilvl="0" w:tplc="CF86D2C4">
      <w:numFmt w:val="bullet"/>
      <w:lvlText w:val="–"/>
      <w:lvlJc w:val="left"/>
      <w:pPr>
        <w:ind w:left="252" w:hanging="360"/>
      </w:pPr>
      <w:rPr>
        <w:rFonts w:ascii="Arial" w:eastAsia="Times New Roman" w:hAnsi="Arial" w:cs="Arial" w:hint="default"/>
      </w:rPr>
    </w:lvl>
    <w:lvl w:ilvl="1" w:tplc="04090003" w:tentative="1">
      <w:start w:val="1"/>
      <w:numFmt w:val="bullet"/>
      <w:lvlText w:val="o"/>
      <w:lvlJc w:val="left"/>
      <w:pPr>
        <w:ind w:left="972" w:hanging="360"/>
      </w:pPr>
      <w:rPr>
        <w:rFonts w:ascii="Courier New" w:hAnsi="Courier New" w:cs="Courier New" w:hint="default"/>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4" w15:restartNumberingAfterBreak="0">
    <w:nsid w:val="14CA3A13"/>
    <w:multiLevelType w:val="hybridMultilevel"/>
    <w:tmpl w:val="719A9544"/>
    <w:lvl w:ilvl="0" w:tplc="519E8ED8">
      <w:start w:val="1"/>
      <w:numFmt w:val="bullet"/>
      <w:lvlText w:val="-"/>
      <w:lvlJc w:val="left"/>
      <w:pPr>
        <w:ind w:left="612" w:hanging="360"/>
      </w:pPr>
      <w:rPr>
        <w:rFonts w:ascii="Sylfaen" w:hAnsi="Sylfae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5" w15:restartNumberingAfterBreak="0">
    <w:nsid w:val="156A4A4C"/>
    <w:multiLevelType w:val="hybridMultilevel"/>
    <w:tmpl w:val="1C6495A2"/>
    <w:lvl w:ilvl="0" w:tplc="0CA0CFE6">
      <w:numFmt w:val="bullet"/>
      <w:lvlText w:val="-"/>
      <w:lvlJc w:val="left"/>
      <w:pPr>
        <w:ind w:left="360" w:hanging="360"/>
      </w:pPr>
      <w:rPr>
        <w:rFonts w:ascii="Arial" w:eastAsia="Times New Roman" w:hAnsi="Arial" w:cs="Arial" w:hint="default"/>
        <w:b/>
        <w:bCs w:val="0"/>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C161E1"/>
    <w:multiLevelType w:val="hybridMultilevel"/>
    <w:tmpl w:val="8056D802"/>
    <w:lvl w:ilvl="0" w:tplc="519E8ED8">
      <w:start w:val="1"/>
      <w:numFmt w:val="bullet"/>
      <w:lvlText w:val="-"/>
      <w:lvlJc w:val="left"/>
      <w:pPr>
        <w:ind w:left="252" w:hanging="360"/>
      </w:pPr>
      <w:rPr>
        <w:rFonts w:ascii="Sylfaen" w:hAnsi="Sylfaen" w:hint="default"/>
        <w:lang w:bidi="he-IL"/>
      </w:rPr>
    </w:lvl>
    <w:lvl w:ilvl="1" w:tplc="04090003" w:tentative="1">
      <w:start w:val="1"/>
      <w:numFmt w:val="bullet"/>
      <w:lvlText w:val="o"/>
      <w:lvlJc w:val="left"/>
      <w:pPr>
        <w:ind w:left="972" w:hanging="360"/>
      </w:pPr>
      <w:rPr>
        <w:rFonts w:ascii="Courier New" w:hAnsi="Courier New" w:cs="Courier New" w:hint="default"/>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7" w15:restartNumberingAfterBreak="0">
    <w:nsid w:val="20DA023C"/>
    <w:multiLevelType w:val="multilevel"/>
    <w:tmpl w:val="26CCC00C"/>
    <w:lvl w:ilvl="0">
      <w:start w:val="1"/>
      <w:numFmt w:val="decimal"/>
      <w:pStyle w:val="a"/>
      <w:lvlText w:val="%1."/>
      <w:lvlJc w:val="left"/>
      <w:pPr>
        <w:tabs>
          <w:tab w:val="num" w:pos="737"/>
        </w:tabs>
        <w:ind w:left="737" w:right="737" w:hanging="56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hebrew1"/>
      <w:lvlText w:val="%2."/>
      <w:lvlJc w:val="left"/>
      <w:pPr>
        <w:tabs>
          <w:tab w:val="num" w:pos="1418"/>
        </w:tabs>
        <w:ind w:left="1418" w:right="1418" w:hanging="681"/>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55"/>
        </w:tabs>
        <w:ind w:left="2155" w:right="2155"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hebrew1"/>
      <w:lvlText w:val="(%4)"/>
      <w:lvlJc w:val="left"/>
      <w:pPr>
        <w:tabs>
          <w:tab w:val="num" w:pos="2892"/>
        </w:tabs>
        <w:ind w:left="2892" w:right="2892"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3629"/>
        </w:tabs>
        <w:ind w:left="3629" w:right="3629"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4320"/>
        </w:tabs>
        <w:ind w:left="4320" w:right="4320" w:hanging="360"/>
      </w:pPr>
      <w:rPr>
        <w:rFonts w:hint="default"/>
      </w:rPr>
    </w:lvl>
    <w:lvl w:ilvl="6">
      <w:start w:val="1"/>
      <w:numFmt w:val="decimal"/>
      <w:lvlText w:val="%7."/>
      <w:lvlJc w:val="left"/>
      <w:pPr>
        <w:tabs>
          <w:tab w:val="num" w:pos="4680"/>
        </w:tabs>
        <w:ind w:left="4680" w:right="4680" w:hanging="360"/>
      </w:pPr>
      <w:rPr>
        <w:rFonts w:hint="default"/>
      </w:rPr>
    </w:lvl>
    <w:lvl w:ilvl="7">
      <w:start w:val="1"/>
      <w:numFmt w:val="lowerLetter"/>
      <w:lvlText w:val="%8."/>
      <w:lvlJc w:val="left"/>
      <w:pPr>
        <w:tabs>
          <w:tab w:val="num" w:pos="5040"/>
        </w:tabs>
        <w:ind w:left="5040" w:right="5040" w:hanging="360"/>
      </w:pPr>
      <w:rPr>
        <w:rFonts w:hint="default"/>
      </w:rPr>
    </w:lvl>
    <w:lvl w:ilvl="8">
      <w:start w:val="1"/>
      <w:numFmt w:val="lowerRoman"/>
      <w:lvlText w:val="%9."/>
      <w:lvlJc w:val="left"/>
      <w:pPr>
        <w:tabs>
          <w:tab w:val="num" w:pos="5400"/>
        </w:tabs>
        <w:ind w:left="5400" w:right="5400" w:hanging="360"/>
      </w:pPr>
      <w:rPr>
        <w:rFonts w:hint="default"/>
      </w:rPr>
    </w:lvl>
  </w:abstractNum>
  <w:abstractNum w:abstractNumId="8" w15:restartNumberingAfterBreak="0">
    <w:nsid w:val="2AC63BAE"/>
    <w:multiLevelType w:val="hybridMultilevel"/>
    <w:tmpl w:val="1C82E848"/>
    <w:lvl w:ilvl="0" w:tplc="C7323EEA">
      <w:numFmt w:val="bullet"/>
      <w:lvlText w:val="-"/>
      <w:lvlJc w:val="left"/>
      <w:pPr>
        <w:ind w:left="252" w:hanging="360"/>
      </w:pPr>
      <w:rPr>
        <w:rFonts w:ascii="Arial" w:eastAsia="Times New Roman" w:hAnsi="Arial" w:cs="Arial" w:hint="default"/>
      </w:rPr>
    </w:lvl>
    <w:lvl w:ilvl="1" w:tplc="04090003" w:tentative="1">
      <w:start w:val="1"/>
      <w:numFmt w:val="bullet"/>
      <w:lvlText w:val="o"/>
      <w:lvlJc w:val="left"/>
      <w:pPr>
        <w:ind w:left="972" w:hanging="360"/>
      </w:pPr>
      <w:rPr>
        <w:rFonts w:ascii="Courier New" w:hAnsi="Courier New" w:cs="Courier New" w:hint="default"/>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9" w15:restartNumberingAfterBreak="0">
    <w:nsid w:val="2C51602A"/>
    <w:multiLevelType w:val="hybridMultilevel"/>
    <w:tmpl w:val="E4729AF8"/>
    <w:lvl w:ilvl="0" w:tplc="519E8ED8">
      <w:start w:val="1"/>
      <w:numFmt w:val="bullet"/>
      <w:lvlText w:val="-"/>
      <w:lvlJc w:val="left"/>
      <w:pPr>
        <w:ind w:left="360" w:hanging="360"/>
      </w:pPr>
      <w:rPr>
        <w:rFonts w:ascii="Sylfaen" w:hAnsi="Sylfae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DE40B8F"/>
    <w:multiLevelType w:val="hybridMultilevel"/>
    <w:tmpl w:val="2A9C2050"/>
    <w:lvl w:ilvl="0" w:tplc="5658E2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DA6257"/>
    <w:multiLevelType w:val="hybridMultilevel"/>
    <w:tmpl w:val="A912CCBE"/>
    <w:lvl w:ilvl="0" w:tplc="519E8ED8">
      <w:start w:val="1"/>
      <w:numFmt w:val="bullet"/>
      <w:lvlText w:val="-"/>
      <w:lvlJc w:val="left"/>
      <w:pPr>
        <w:ind w:left="252" w:hanging="360"/>
      </w:pPr>
      <w:rPr>
        <w:rFonts w:ascii="Sylfaen" w:hAnsi="Sylfaen" w:hint="default"/>
        <w:sz w:val="18"/>
      </w:rPr>
    </w:lvl>
    <w:lvl w:ilvl="1" w:tplc="5B787552">
      <w:start w:val="1"/>
      <w:numFmt w:val="bullet"/>
      <w:lvlText w:val="-"/>
      <w:lvlJc w:val="left"/>
      <w:pPr>
        <w:ind w:left="972" w:hanging="360"/>
      </w:pPr>
      <w:rPr>
        <w:rFonts w:ascii="Sylfaen" w:hAnsi="Sylfaen" w:hint="default"/>
        <w:b/>
        <w:bCs w:val="0"/>
      </w:r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2" w15:restartNumberingAfterBreak="0">
    <w:nsid w:val="445535C5"/>
    <w:multiLevelType w:val="hybridMultilevel"/>
    <w:tmpl w:val="E3F0F2E2"/>
    <w:lvl w:ilvl="0" w:tplc="A89E4734">
      <w:start w:val="44"/>
      <w:numFmt w:val="bullet"/>
      <w:lvlText w:val="-"/>
      <w:lvlJc w:val="left"/>
      <w:pPr>
        <w:ind w:left="252" w:hanging="360"/>
      </w:pPr>
      <w:rPr>
        <w:rFonts w:ascii="Arial" w:eastAsia="Times New Roman" w:hAnsi="Arial" w:cs="Arial" w:hint="default"/>
        <w:b w:val="0"/>
        <w:bCs w:val="0"/>
      </w:rPr>
    </w:lvl>
    <w:lvl w:ilvl="1" w:tplc="6380C0FA">
      <w:numFmt w:val="bullet"/>
      <w:lvlText w:val="-"/>
      <w:lvlJc w:val="left"/>
      <w:pPr>
        <w:ind w:left="972" w:hanging="360"/>
      </w:pPr>
      <w:rPr>
        <w:rFonts w:ascii="Arial" w:eastAsia="Times New Roman" w:hAnsi="Arial" w:hint="default"/>
        <w:sz w:val="18"/>
        <w:lang w:bidi="he-IL"/>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13" w15:restartNumberingAfterBreak="0">
    <w:nsid w:val="496F5FDF"/>
    <w:multiLevelType w:val="hybridMultilevel"/>
    <w:tmpl w:val="724C5234"/>
    <w:lvl w:ilvl="0" w:tplc="4D402838">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4" w15:restartNumberingAfterBreak="0">
    <w:nsid w:val="4C577481"/>
    <w:multiLevelType w:val="hybridMultilevel"/>
    <w:tmpl w:val="95A437E8"/>
    <w:lvl w:ilvl="0" w:tplc="0409000F">
      <w:start w:val="1"/>
      <w:numFmt w:val="decimal"/>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15" w15:restartNumberingAfterBreak="0">
    <w:nsid w:val="4CA353C1"/>
    <w:multiLevelType w:val="multilevel"/>
    <w:tmpl w:val="B89EFCF6"/>
    <w:lvl w:ilvl="0">
      <w:start w:val="1"/>
      <w:numFmt w:val="hebrew1"/>
      <w:pStyle w:val="a0"/>
      <w:lvlText w:val="%1."/>
      <w:lvlJc w:val="left"/>
      <w:pPr>
        <w:tabs>
          <w:tab w:val="num" w:pos="1457"/>
        </w:tabs>
        <w:ind w:left="1457" w:right="1457" w:hanging="737"/>
      </w:pPr>
      <w:rPr>
        <w:rFonts w:cs="Arial" w:hint="default"/>
        <w:b w:val="0"/>
        <w:bCs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hebrew1"/>
      <w:lvlText w:val="%2."/>
      <w:lvlJc w:val="left"/>
      <w:pPr>
        <w:tabs>
          <w:tab w:val="num" w:pos="2138"/>
        </w:tabs>
        <w:ind w:left="2138" w:right="2138" w:hanging="681"/>
      </w:pPr>
      <w:rPr>
        <w:rFonts w:ascii="Arial" w:eastAsia="Times New Roman" w:hAnsi="Arial" w:cs="Arial" w:hint="default"/>
        <w:caps w:val="0"/>
        <w:strike w:val="0"/>
        <w:dstrike w:val="0"/>
        <w:vanish w:val="0"/>
        <w:color w:val="000000"/>
        <w:u w:val="none"/>
        <w:vertAlign w:val="baseline"/>
        <w:lang w:val="en-US"/>
        <w14:shadow w14:blurRad="0" w14:dist="0" w14:dir="0" w14:sx="0" w14:sy="0" w14:kx="0" w14:ky="0" w14:algn="none">
          <w14:srgbClr w14:val="000000"/>
        </w14:shadow>
        <w14:textOutline w14:w="0" w14:cap="rnd" w14:cmpd="sng" w14:algn="ctr">
          <w14:noFill/>
          <w14:prstDash w14:val="solid"/>
          <w14:bevel/>
        </w14:textOutline>
      </w:rPr>
    </w:lvl>
    <w:lvl w:ilvl="2">
      <w:start w:val="1"/>
      <w:numFmt w:val="hebrew1"/>
      <w:lvlText w:val="(%3)"/>
      <w:lvlJc w:val="left"/>
      <w:pPr>
        <w:tabs>
          <w:tab w:val="num" w:pos="2875"/>
        </w:tabs>
        <w:ind w:left="2875" w:right="2875"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2897"/>
        </w:tabs>
        <w:ind w:left="2897" w:right="2897"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4349"/>
        </w:tabs>
        <w:ind w:left="4349" w:right="4349"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2880"/>
        </w:tabs>
        <w:ind w:left="2880" w:right="2880" w:hanging="360"/>
      </w:pPr>
      <w:rPr>
        <w:rFonts w:hint="default"/>
      </w:rPr>
    </w:lvl>
    <w:lvl w:ilvl="6">
      <w:start w:val="1"/>
      <w:numFmt w:val="decimal"/>
      <w:lvlText w:val="%7."/>
      <w:lvlJc w:val="left"/>
      <w:pPr>
        <w:tabs>
          <w:tab w:val="num" w:pos="3240"/>
        </w:tabs>
        <w:ind w:left="3240" w:right="3240" w:hanging="360"/>
      </w:pPr>
      <w:rPr>
        <w:rFonts w:hint="default"/>
      </w:rPr>
    </w:lvl>
    <w:lvl w:ilvl="7">
      <w:start w:val="1"/>
      <w:numFmt w:val="lowerLetter"/>
      <w:lvlText w:val="%8."/>
      <w:lvlJc w:val="left"/>
      <w:pPr>
        <w:tabs>
          <w:tab w:val="num" w:pos="3600"/>
        </w:tabs>
        <w:ind w:left="3600" w:right="3600" w:hanging="360"/>
      </w:pPr>
      <w:rPr>
        <w:rFonts w:hint="default"/>
      </w:rPr>
    </w:lvl>
    <w:lvl w:ilvl="8">
      <w:start w:val="1"/>
      <w:numFmt w:val="lowerRoman"/>
      <w:lvlText w:val="%9."/>
      <w:lvlJc w:val="left"/>
      <w:pPr>
        <w:tabs>
          <w:tab w:val="num" w:pos="3960"/>
        </w:tabs>
        <w:ind w:left="3960" w:right="3960" w:hanging="360"/>
      </w:pPr>
      <w:rPr>
        <w:rFonts w:hint="default"/>
      </w:rPr>
    </w:lvl>
  </w:abstractNum>
  <w:abstractNum w:abstractNumId="16" w15:restartNumberingAfterBreak="0">
    <w:nsid w:val="4DCB265A"/>
    <w:multiLevelType w:val="hybridMultilevel"/>
    <w:tmpl w:val="1AC0C00E"/>
    <w:lvl w:ilvl="0" w:tplc="7A1E4332">
      <w:start w:val="1"/>
      <w:numFmt w:val="bullet"/>
      <w:pStyle w:val="-2-"/>
      <w:lvlText w:val=""/>
      <w:lvlJc w:val="left"/>
      <w:pPr>
        <w:tabs>
          <w:tab w:val="num" w:pos="1603"/>
        </w:tabs>
        <w:ind w:left="1603" w:hanging="340"/>
      </w:pPr>
      <w:rPr>
        <w:rFonts w:ascii="Symbol" w:hAnsi="Symbol" w:hint="default"/>
      </w:rPr>
    </w:lvl>
    <w:lvl w:ilvl="1" w:tplc="C428DA88">
      <w:start w:val="1"/>
      <w:numFmt w:val="bullet"/>
      <w:lvlText w:val=""/>
      <w:lvlJc w:val="left"/>
      <w:pPr>
        <w:tabs>
          <w:tab w:val="num" w:pos="1821"/>
        </w:tabs>
        <w:ind w:left="1821" w:hanging="340"/>
      </w:pPr>
      <w:rPr>
        <w:rFonts w:ascii="Symbol" w:hAnsi="Symbol" w:hint="default"/>
      </w:rPr>
    </w:lvl>
    <w:lvl w:ilvl="2" w:tplc="0409001B">
      <w:start w:val="1"/>
      <w:numFmt w:val="lowerRoman"/>
      <w:lvlText w:val="%3."/>
      <w:lvlJc w:val="right"/>
      <w:pPr>
        <w:tabs>
          <w:tab w:val="num" w:pos="2561"/>
        </w:tabs>
        <w:ind w:left="2561" w:hanging="180"/>
      </w:pPr>
    </w:lvl>
    <w:lvl w:ilvl="3" w:tplc="0409000F" w:tentative="1">
      <w:start w:val="1"/>
      <w:numFmt w:val="decimal"/>
      <w:lvlText w:val="%4."/>
      <w:lvlJc w:val="left"/>
      <w:pPr>
        <w:tabs>
          <w:tab w:val="num" w:pos="3281"/>
        </w:tabs>
        <w:ind w:left="3281" w:hanging="360"/>
      </w:pPr>
    </w:lvl>
    <w:lvl w:ilvl="4" w:tplc="04090019" w:tentative="1">
      <w:start w:val="1"/>
      <w:numFmt w:val="lowerLetter"/>
      <w:lvlText w:val="%5."/>
      <w:lvlJc w:val="left"/>
      <w:pPr>
        <w:tabs>
          <w:tab w:val="num" w:pos="4001"/>
        </w:tabs>
        <w:ind w:left="4001" w:hanging="360"/>
      </w:pPr>
    </w:lvl>
    <w:lvl w:ilvl="5" w:tplc="0409001B" w:tentative="1">
      <w:start w:val="1"/>
      <w:numFmt w:val="lowerRoman"/>
      <w:lvlText w:val="%6."/>
      <w:lvlJc w:val="right"/>
      <w:pPr>
        <w:tabs>
          <w:tab w:val="num" w:pos="4721"/>
        </w:tabs>
        <w:ind w:left="4721" w:hanging="180"/>
      </w:pPr>
    </w:lvl>
    <w:lvl w:ilvl="6" w:tplc="0409000F" w:tentative="1">
      <w:start w:val="1"/>
      <w:numFmt w:val="decimal"/>
      <w:lvlText w:val="%7."/>
      <w:lvlJc w:val="left"/>
      <w:pPr>
        <w:tabs>
          <w:tab w:val="num" w:pos="5441"/>
        </w:tabs>
        <w:ind w:left="5441" w:hanging="360"/>
      </w:pPr>
    </w:lvl>
    <w:lvl w:ilvl="7" w:tplc="04090019" w:tentative="1">
      <w:start w:val="1"/>
      <w:numFmt w:val="lowerLetter"/>
      <w:lvlText w:val="%8."/>
      <w:lvlJc w:val="left"/>
      <w:pPr>
        <w:tabs>
          <w:tab w:val="num" w:pos="6161"/>
        </w:tabs>
        <w:ind w:left="6161" w:hanging="360"/>
      </w:pPr>
    </w:lvl>
    <w:lvl w:ilvl="8" w:tplc="0409001B" w:tentative="1">
      <w:start w:val="1"/>
      <w:numFmt w:val="lowerRoman"/>
      <w:lvlText w:val="%9."/>
      <w:lvlJc w:val="right"/>
      <w:pPr>
        <w:tabs>
          <w:tab w:val="num" w:pos="6881"/>
        </w:tabs>
        <w:ind w:left="6881" w:hanging="180"/>
      </w:pPr>
    </w:lvl>
  </w:abstractNum>
  <w:abstractNum w:abstractNumId="17" w15:restartNumberingAfterBreak="0">
    <w:nsid w:val="55EC12C2"/>
    <w:multiLevelType w:val="multilevel"/>
    <w:tmpl w:val="151ACE9A"/>
    <w:lvl w:ilvl="0">
      <w:start w:val="1"/>
      <w:numFmt w:val="decimal"/>
      <w:pStyle w:val="1"/>
      <w:lvlText w:val="%1."/>
      <w:lvlJc w:val="left"/>
      <w:pPr>
        <w:tabs>
          <w:tab w:val="num" w:pos="397"/>
        </w:tabs>
        <w:ind w:left="397" w:hanging="397"/>
      </w:pPr>
      <w:rPr>
        <w:rFonts w:hint="default"/>
        <w:sz w:val="24"/>
        <w:szCs w:val="24"/>
      </w:rPr>
    </w:lvl>
    <w:lvl w:ilvl="1">
      <w:start w:val="1"/>
      <w:numFmt w:val="decimal"/>
      <w:pStyle w:val="2"/>
      <w:lvlText w:val="%1.%2."/>
      <w:lvlJc w:val="left"/>
      <w:pPr>
        <w:tabs>
          <w:tab w:val="num" w:pos="1050"/>
        </w:tabs>
        <w:ind w:left="1050" w:hanging="510"/>
      </w:pPr>
      <w:rPr>
        <w:rFonts w:hint="default"/>
      </w:rPr>
    </w:lvl>
    <w:lvl w:ilvl="2">
      <w:start w:val="1"/>
      <w:numFmt w:val="decimal"/>
      <w:pStyle w:val="3"/>
      <w:lvlText w:val="%1.%2.%3."/>
      <w:lvlJc w:val="left"/>
      <w:pPr>
        <w:tabs>
          <w:tab w:val="num" w:pos="1644"/>
        </w:tabs>
        <w:ind w:left="1644" w:hanging="680"/>
      </w:pPr>
      <w:rPr>
        <w:rFonts w:hint="default"/>
      </w:rPr>
    </w:lvl>
    <w:lvl w:ilvl="3">
      <w:start w:val="1"/>
      <w:numFmt w:val="decimal"/>
      <w:pStyle w:val="2"/>
      <w:lvlText w:val="%1.%2.%3.%4."/>
      <w:lvlJc w:val="left"/>
      <w:pPr>
        <w:tabs>
          <w:tab w:val="num" w:pos="2438"/>
        </w:tabs>
        <w:ind w:left="2438" w:hanging="794"/>
      </w:pPr>
      <w:rPr>
        <w:rFonts w:hint="default"/>
        <w:b w:val="0"/>
        <w:i w:val="0"/>
        <w:sz w:val="22"/>
        <w:szCs w:val="22"/>
      </w:rPr>
    </w:lvl>
    <w:lvl w:ilvl="4">
      <w:start w:val="1"/>
      <w:numFmt w:val="decimal"/>
      <w:lvlText w:val="%1.%2.%3.%4.%5."/>
      <w:lvlJc w:val="left"/>
      <w:pPr>
        <w:tabs>
          <w:tab w:val="num" w:pos="5400"/>
        </w:tabs>
        <w:ind w:left="4032" w:hanging="792"/>
      </w:pPr>
      <w:rPr>
        <w:rFonts w:hint="default"/>
      </w:rPr>
    </w:lvl>
    <w:lvl w:ilvl="5">
      <w:start w:val="1"/>
      <w:numFmt w:val="decimal"/>
      <w:lvlText w:val="%1.%2.%3.%4.%5.%6."/>
      <w:lvlJc w:val="left"/>
      <w:pPr>
        <w:tabs>
          <w:tab w:val="num" w:pos="6120"/>
        </w:tabs>
        <w:ind w:left="4536" w:hanging="936"/>
      </w:pPr>
      <w:rPr>
        <w:rFonts w:hint="default"/>
      </w:rPr>
    </w:lvl>
    <w:lvl w:ilvl="6">
      <w:start w:val="1"/>
      <w:numFmt w:val="decimal"/>
      <w:lvlText w:val="%1.%2.%3.%4.%5.%6.%7."/>
      <w:lvlJc w:val="left"/>
      <w:pPr>
        <w:tabs>
          <w:tab w:val="num" w:pos="6840"/>
        </w:tabs>
        <w:ind w:left="5040" w:hanging="1080"/>
      </w:pPr>
      <w:rPr>
        <w:rFonts w:hint="default"/>
      </w:rPr>
    </w:lvl>
    <w:lvl w:ilvl="7">
      <w:start w:val="1"/>
      <w:numFmt w:val="decimal"/>
      <w:lvlText w:val="%1.%2.%3.%4.%5.%6.%7.%8."/>
      <w:lvlJc w:val="left"/>
      <w:pPr>
        <w:tabs>
          <w:tab w:val="num" w:pos="7560"/>
        </w:tabs>
        <w:ind w:left="5544" w:hanging="1224"/>
      </w:pPr>
      <w:rPr>
        <w:rFonts w:hint="default"/>
      </w:rPr>
    </w:lvl>
    <w:lvl w:ilvl="8">
      <w:start w:val="1"/>
      <w:numFmt w:val="decimal"/>
      <w:lvlText w:val="%1.%2.%3.%4.%5.%6.%7.%8.%9."/>
      <w:lvlJc w:val="left"/>
      <w:pPr>
        <w:tabs>
          <w:tab w:val="num" w:pos="8280"/>
        </w:tabs>
        <w:ind w:left="6120" w:hanging="1440"/>
      </w:pPr>
      <w:rPr>
        <w:rFonts w:hint="default"/>
      </w:rPr>
    </w:lvl>
  </w:abstractNum>
  <w:abstractNum w:abstractNumId="18" w15:restartNumberingAfterBreak="0">
    <w:nsid w:val="5C7E0E17"/>
    <w:multiLevelType w:val="hybridMultilevel"/>
    <w:tmpl w:val="53122B9E"/>
    <w:lvl w:ilvl="0" w:tplc="23049B36">
      <w:numFmt w:val="bullet"/>
      <w:lvlText w:val="-"/>
      <w:lvlJc w:val="left"/>
      <w:pPr>
        <w:ind w:left="360" w:hanging="360"/>
      </w:pPr>
      <w:rPr>
        <w:rFonts w:ascii="Arial" w:eastAsia="Times New Roman" w:hAnsi="Arial" w:cs="Arial" w:hint="default"/>
        <w:b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0FF6FA9"/>
    <w:multiLevelType w:val="hybridMultilevel"/>
    <w:tmpl w:val="CAEE81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461C75"/>
    <w:multiLevelType w:val="hybridMultilevel"/>
    <w:tmpl w:val="3AC2A076"/>
    <w:lvl w:ilvl="0" w:tplc="519E8ED8">
      <w:start w:val="1"/>
      <w:numFmt w:val="bullet"/>
      <w:lvlText w:val="-"/>
      <w:lvlJc w:val="left"/>
      <w:pPr>
        <w:ind w:left="360" w:hanging="360"/>
      </w:pPr>
      <w:rPr>
        <w:rFonts w:ascii="Sylfaen" w:hAnsi="Sylfaen" w:hint="default"/>
      </w:rPr>
    </w:lvl>
    <w:lvl w:ilvl="1" w:tplc="67AA8492">
      <w:numFmt w:val="bullet"/>
      <w:lvlText w:val="-"/>
      <w:lvlJc w:val="left"/>
      <w:pPr>
        <w:ind w:left="1080" w:hanging="360"/>
      </w:pPr>
      <w:rPr>
        <w:rFonts w:ascii="Arial" w:eastAsia="Times New Roman" w:hAnsi="Arial" w:cs="Arial" w:hint="default"/>
        <w:b w:val="0"/>
        <w:bCs w:val="0"/>
        <w:lang w:bidi="he-IL"/>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78826A6"/>
    <w:multiLevelType w:val="hybridMultilevel"/>
    <w:tmpl w:val="BD005838"/>
    <w:lvl w:ilvl="0" w:tplc="49A24C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22" w15:restartNumberingAfterBreak="0">
    <w:nsid w:val="712850D4"/>
    <w:multiLevelType w:val="hybridMultilevel"/>
    <w:tmpl w:val="27A0763E"/>
    <w:lvl w:ilvl="0" w:tplc="519E8ED8">
      <w:start w:val="1"/>
      <w:numFmt w:val="bullet"/>
      <w:lvlText w:val="-"/>
      <w:lvlJc w:val="left"/>
      <w:pPr>
        <w:ind w:left="360" w:hanging="360"/>
      </w:pPr>
      <w:rPr>
        <w:rFonts w:ascii="Sylfaen" w:hAnsi="Sylfaen" w:hint="default"/>
        <w:color w:val="auto"/>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47509D3"/>
    <w:multiLevelType w:val="hybridMultilevel"/>
    <w:tmpl w:val="3DCE5C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D9A5145"/>
    <w:multiLevelType w:val="hybridMultilevel"/>
    <w:tmpl w:val="3A66E97A"/>
    <w:lvl w:ilvl="0" w:tplc="519E8ED8">
      <w:start w:val="1"/>
      <w:numFmt w:val="bullet"/>
      <w:lvlText w:val="-"/>
      <w:lvlJc w:val="left"/>
      <w:pPr>
        <w:ind w:left="360" w:hanging="360"/>
      </w:pPr>
      <w:rPr>
        <w:rFonts w:ascii="Sylfaen" w:hAnsi="Sylfae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E5547BF"/>
    <w:multiLevelType w:val="hybridMultilevel"/>
    <w:tmpl w:val="1D8CFF5E"/>
    <w:lvl w:ilvl="0" w:tplc="5B787552">
      <w:start w:val="1"/>
      <w:numFmt w:val="bullet"/>
      <w:lvlText w:val="-"/>
      <w:lvlJc w:val="left"/>
      <w:pPr>
        <w:ind w:left="360" w:hanging="360"/>
      </w:pPr>
      <w:rPr>
        <w:rFonts w:ascii="Sylfaen" w:hAnsi="Sylfaen" w:hint="default"/>
        <w:b/>
        <w:bCs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7"/>
  </w:num>
  <w:num w:numId="3">
    <w:abstractNumId w:val="0"/>
  </w:num>
  <w:num w:numId="4">
    <w:abstractNumId w:val="2"/>
  </w:num>
  <w:num w:numId="5">
    <w:abstractNumId w:val="17"/>
  </w:num>
  <w:num w:numId="6">
    <w:abstractNumId w:val="25"/>
  </w:num>
  <w:num w:numId="7">
    <w:abstractNumId w:val="24"/>
  </w:num>
  <w:num w:numId="8">
    <w:abstractNumId w:val="18"/>
  </w:num>
  <w:num w:numId="9">
    <w:abstractNumId w:val="9"/>
  </w:num>
  <w:num w:numId="10">
    <w:abstractNumId w:val="10"/>
  </w:num>
  <w:num w:numId="11">
    <w:abstractNumId w:val="1"/>
  </w:num>
  <w:num w:numId="12">
    <w:abstractNumId w:val="23"/>
  </w:num>
  <w:num w:numId="13">
    <w:abstractNumId w:val="8"/>
  </w:num>
  <w:num w:numId="14">
    <w:abstractNumId w:val="16"/>
  </w:num>
  <w:num w:numId="15">
    <w:abstractNumId w:val="11"/>
  </w:num>
  <w:num w:numId="16">
    <w:abstractNumId w:val="12"/>
  </w:num>
  <w:num w:numId="17">
    <w:abstractNumId w:val="20"/>
  </w:num>
  <w:num w:numId="18">
    <w:abstractNumId w:val="4"/>
  </w:num>
  <w:num w:numId="19">
    <w:abstractNumId w:val="13"/>
  </w:num>
  <w:num w:numId="20">
    <w:abstractNumId w:val="5"/>
  </w:num>
  <w:num w:numId="21">
    <w:abstractNumId w:val="22"/>
  </w:num>
  <w:num w:numId="22">
    <w:abstractNumId w:val="21"/>
  </w:num>
  <w:num w:numId="23">
    <w:abstractNumId w:val="6"/>
  </w:num>
  <w:num w:numId="24">
    <w:abstractNumId w:val="14"/>
  </w:num>
  <w:num w:numId="25">
    <w:abstractNumId w:val="3"/>
  </w:num>
  <w:num w:numId="26">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GrammaticalErrors/>
  <w:activeWritingStyle w:appName="MSWord" w:lang="ar-SA" w:vendorID="64" w:dllVersion="6" w:nlCheck="1" w:checkStyle="0"/>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proofState w:spelling="clean" w:grammar="clean"/>
  <w:defaultTabStop w:val="9129"/>
  <w:evenAndOddHeaders/>
  <w:characterSpacingControl w:val="doNotCompress"/>
  <w:hdrShapeDefaults>
    <o:shapedefaults v:ext="edit" spidmax="2049"/>
  </w:hdrShapeDefaults>
  <w:footnotePr>
    <w:pos w:val="beneathText"/>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28" w:val="........................................................................................................................................................................................................................................................................................................................................................................................................................................................................................................................................................................................................................................................................................................................................................................................................................................................................................................................................................................................................................................"/>
    <w:docVar w:name="DocTable" w:val="1"/>
    <w:docVar w:name="ParaNumber" w:val="6"/>
  </w:docVars>
  <w:rsids>
    <w:rsidRoot w:val="00952EB2"/>
    <w:rsid w:val="000000B5"/>
    <w:rsid w:val="000006E3"/>
    <w:rsid w:val="000017FC"/>
    <w:rsid w:val="00001D07"/>
    <w:rsid w:val="00002BA3"/>
    <w:rsid w:val="00003879"/>
    <w:rsid w:val="00004281"/>
    <w:rsid w:val="000055A3"/>
    <w:rsid w:val="00005E69"/>
    <w:rsid w:val="00006100"/>
    <w:rsid w:val="00006954"/>
    <w:rsid w:val="000100E9"/>
    <w:rsid w:val="0001105E"/>
    <w:rsid w:val="000128F8"/>
    <w:rsid w:val="000135A5"/>
    <w:rsid w:val="000140EA"/>
    <w:rsid w:val="00014298"/>
    <w:rsid w:val="0001477A"/>
    <w:rsid w:val="0001524A"/>
    <w:rsid w:val="00015BFC"/>
    <w:rsid w:val="00017CC1"/>
    <w:rsid w:val="000203E7"/>
    <w:rsid w:val="000205CC"/>
    <w:rsid w:val="00021F71"/>
    <w:rsid w:val="00025045"/>
    <w:rsid w:val="00026356"/>
    <w:rsid w:val="000266BD"/>
    <w:rsid w:val="00026BD5"/>
    <w:rsid w:val="00030116"/>
    <w:rsid w:val="0003016E"/>
    <w:rsid w:val="000310B4"/>
    <w:rsid w:val="00031F29"/>
    <w:rsid w:val="00032ADF"/>
    <w:rsid w:val="000334A6"/>
    <w:rsid w:val="00034D88"/>
    <w:rsid w:val="00035075"/>
    <w:rsid w:val="00035AB3"/>
    <w:rsid w:val="00036219"/>
    <w:rsid w:val="00036624"/>
    <w:rsid w:val="00036782"/>
    <w:rsid w:val="000400A8"/>
    <w:rsid w:val="00040ED3"/>
    <w:rsid w:val="00041F6B"/>
    <w:rsid w:val="00042876"/>
    <w:rsid w:val="00042B43"/>
    <w:rsid w:val="00042CFD"/>
    <w:rsid w:val="00042E61"/>
    <w:rsid w:val="00042F18"/>
    <w:rsid w:val="00043016"/>
    <w:rsid w:val="000441D5"/>
    <w:rsid w:val="0004634F"/>
    <w:rsid w:val="0004668C"/>
    <w:rsid w:val="00046E32"/>
    <w:rsid w:val="000507DD"/>
    <w:rsid w:val="00050E44"/>
    <w:rsid w:val="00051107"/>
    <w:rsid w:val="00052AED"/>
    <w:rsid w:val="00052B53"/>
    <w:rsid w:val="000539C8"/>
    <w:rsid w:val="00053BE1"/>
    <w:rsid w:val="00053D7D"/>
    <w:rsid w:val="0005404A"/>
    <w:rsid w:val="0005415C"/>
    <w:rsid w:val="00054DC8"/>
    <w:rsid w:val="00055631"/>
    <w:rsid w:val="00056657"/>
    <w:rsid w:val="00056837"/>
    <w:rsid w:val="00056D18"/>
    <w:rsid w:val="00057015"/>
    <w:rsid w:val="000578DC"/>
    <w:rsid w:val="000607A3"/>
    <w:rsid w:val="00060DCB"/>
    <w:rsid w:val="000611D3"/>
    <w:rsid w:val="00061DCB"/>
    <w:rsid w:val="00062AF0"/>
    <w:rsid w:val="000641C1"/>
    <w:rsid w:val="0006464F"/>
    <w:rsid w:val="00064811"/>
    <w:rsid w:val="00065CD0"/>
    <w:rsid w:val="00066E09"/>
    <w:rsid w:val="000670D2"/>
    <w:rsid w:val="000671D8"/>
    <w:rsid w:val="00067ABB"/>
    <w:rsid w:val="00067F4E"/>
    <w:rsid w:val="00070915"/>
    <w:rsid w:val="00070DD2"/>
    <w:rsid w:val="000714BA"/>
    <w:rsid w:val="00071CF6"/>
    <w:rsid w:val="0007230F"/>
    <w:rsid w:val="00072B05"/>
    <w:rsid w:val="0007357D"/>
    <w:rsid w:val="00073660"/>
    <w:rsid w:val="00075747"/>
    <w:rsid w:val="00075C7C"/>
    <w:rsid w:val="0007690E"/>
    <w:rsid w:val="00076B97"/>
    <w:rsid w:val="00080534"/>
    <w:rsid w:val="00080D7B"/>
    <w:rsid w:val="00080E45"/>
    <w:rsid w:val="00081908"/>
    <w:rsid w:val="00081AC2"/>
    <w:rsid w:val="00081F11"/>
    <w:rsid w:val="00081FC0"/>
    <w:rsid w:val="0008265D"/>
    <w:rsid w:val="0008320F"/>
    <w:rsid w:val="00084FF7"/>
    <w:rsid w:val="00085461"/>
    <w:rsid w:val="00085A4A"/>
    <w:rsid w:val="00085D9A"/>
    <w:rsid w:val="00085ECD"/>
    <w:rsid w:val="000860B4"/>
    <w:rsid w:val="00086AF5"/>
    <w:rsid w:val="00090980"/>
    <w:rsid w:val="00090E33"/>
    <w:rsid w:val="000921F6"/>
    <w:rsid w:val="00092455"/>
    <w:rsid w:val="00092511"/>
    <w:rsid w:val="00092596"/>
    <w:rsid w:val="00092951"/>
    <w:rsid w:val="000948FC"/>
    <w:rsid w:val="0009539B"/>
    <w:rsid w:val="00095431"/>
    <w:rsid w:val="00095B30"/>
    <w:rsid w:val="00096C0C"/>
    <w:rsid w:val="000978C9"/>
    <w:rsid w:val="000A004A"/>
    <w:rsid w:val="000A0AE6"/>
    <w:rsid w:val="000A0B4D"/>
    <w:rsid w:val="000A11FF"/>
    <w:rsid w:val="000A1814"/>
    <w:rsid w:val="000A1F1B"/>
    <w:rsid w:val="000A20AB"/>
    <w:rsid w:val="000A294F"/>
    <w:rsid w:val="000A2F4B"/>
    <w:rsid w:val="000A38F2"/>
    <w:rsid w:val="000A4071"/>
    <w:rsid w:val="000A45CC"/>
    <w:rsid w:val="000A48BF"/>
    <w:rsid w:val="000A4CB0"/>
    <w:rsid w:val="000A4DA5"/>
    <w:rsid w:val="000A4E9F"/>
    <w:rsid w:val="000A58B6"/>
    <w:rsid w:val="000A5FB5"/>
    <w:rsid w:val="000A65B3"/>
    <w:rsid w:val="000A6A40"/>
    <w:rsid w:val="000A7A3C"/>
    <w:rsid w:val="000A7AD4"/>
    <w:rsid w:val="000B0997"/>
    <w:rsid w:val="000B20A5"/>
    <w:rsid w:val="000B2A11"/>
    <w:rsid w:val="000B3683"/>
    <w:rsid w:val="000B3BC5"/>
    <w:rsid w:val="000B5006"/>
    <w:rsid w:val="000B55D0"/>
    <w:rsid w:val="000B59A5"/>
    <w:rsid w:val="000B59F0"/>
    <w:rsid w:val="000B64F2"/>
    <w:rsid w:val="000B6592"/>
    <w:rsid w:val="000B6701"/>
    <w:rsid w:val="000C030E"/>
    <w:rsid w:val="000C1457"/>
    <w:rsid w:val="000C14A7"/>
    <w:rsid w:val="000C1DA1"/>
    <w:rsid w:val="000C220A"/>
    <w:rsid w:val="000C29D3"/>
    <w:rsid w:val="000C36EF"/>
    <w:rsid w:val="000C38C1"/>
    <w:rsid w:val="000C3C0D"/>
    <w:rsid w:val="000C4D7F"/>
    <w:rsid w:val="000C5466"/>
    <w:rsid w:val="000C60D8"/>
    <w:rsid w:val="000C6B54"/>
    <w:rsid w:val="000C6C3A"/>
    <w:rsid w:val="000C70FD"/>
    <w:rsid w:val="000C7CB3"/>
    <w:rsid w:val="000C7F01"/>
    <w:rsid w:val="000D061D"/>
    <w:rsid w:val="000D15D7"/>
    <w:rsid w:val="000D1942"/>
    <w:rsid w:val="000D1AD0"/>
    <w:rsid w:val="000D25F1"/>
    <w:rsid w:val="000D2979"/>
    <w:rsid w:val="000D2FFA"/>
    <w:rsid w:val="000D32EF"/>
    <w:rsid w:val="000D3430"/>
    <w:rsid w:val="000D485F"/>
    <w:rsid w:val="000D4C98"/>
    <w:rsid w:val="000D53EF"/>
    <w:rsid w:val="000D5A2F"/>
    <w:rsid w:val="000D670D"/>
    <w:rsid w:val="000D759B"/>
    <w:rsid w:val="000D760C"/>
    <w:rsid w:val="000D7EF6"/>
    <w:rsid w:val="000E094D"/>
    <w:rsid w:val="000E09E5"/>
    <w:rsid w:val="000E15EA"/>
    <w:rsid w:val="000E1F17"/>
    <w:rsid w:val="000E24C3"/>
    <w:rsid w:val="000E3616"/>
    <w:rsid w:val="000E41EF"/>
    <w:rsid w:val="000E47F8"/>
    <w:rsid w:val="000E62DA"/>
    <w:rsid w:val="000E6509"/>
    <w:rsid w:val="000E6747"/>
    <w:rsid w:val="000E6CD2"/>
    <w:rsid w:val="000E7A03"/>
    <w:rsid w:val="000F0AEE"/>
    <w:rsid w:val="000F17B9"/>
    <w:rsid w:val="000F1B8F"/>
    <w:rsid w:val="000F22DC"/>
    <w:rsid w:val="000F2A54"/>
    <w:rsid w:val="000F2C5F"/>
    <w:rsid w:val="000F2FC2"/>
    <w:rsid w:val="000F4946"/>
    <w:rsid w:val="000F63C7"/>
    <w:rsid w:val="000F6FD3"/>
    <w:rsid w:val="000F7CC1"/>
    <w:rsid w:val="00100C8E"/>
    <w:rsid w:val="001010B7"/>
    <w:rsid w:val="00101BC4"/>
    <w:rsid w:val="00101EA3"/>
    <w:rsid w:val="0010324D"/>
    <w:rsid w:val="00104F83"/>
    <w:rsid w:val="00104FA4"/>
    <w:rsid w:val="0010540F"/>
    <w:rsid w:val="001058F2"/>
    <w:rsid w:val="00105CD3"/>
    <w:rsid w:val="00105D2C"/>
    <w:rsid w:val="00106243"/>
    <w:rsid w:val="00106FC5"/>
    <w:rsid w:val="00107D4D"/>
    <w:rsid w:val="00107D4F"/>
    <w:rsid w:val="00107F00"/>
    <w:rsid w:val="00110514"/>
    <w:rsid w:val="00112136"/>
    <w:rsid w:val="00112B37"/>
    <w:rsid w:val="00112E54"/>
    <w:rsid w:val="00112F4C"/>
    <w:rsid w:val="001135DF"/>
    <w:rsid w:val="00113B59"/>
    <w:rsid w:val="0011425D"/>
    <w:rsid w:val="001142CB"/>
    <w:rsid w:val="00114AB9"/>
    <w:rsid w:val="001153B9"/>
    <w:rsid w:val="00115C6F"/>
    <w:rsid w:val="00116874"/>
    <w:rsid w:val="001172AF"/>
    <w:rsid w:val="00117FEF"/>
    <w:rsid w:val="00120559"/>
    <w:rsid w:val="00120F03"/>
    <w:rsid w:val="001210D9"/>
    <w:rsid w:val="0012134B"/>
    <w:rsid w:val="001215FA"/>
    <w:rsid w:val="00121CB4"/>
    <w:rsid w:val="00122205"/>
    <w:rsid w:val="00122C18"/>
    <w:rsid w:val="001260B2"/>
    <w:rsid w:val="001262FF"/>
    <w:rsid w:val="00126E08"/>
    <w:rsid w:val="00127811"/>
    <w:rsid w:val="00127853"/>
    <w:rsid w:val="00127E3A"/>
    <w:rsid w:val="001303B5"/>
    <w:rsid w:val="001312D7"/>
    <w:rsid w:val="00131482"/>
    <w:rsid w:val="001314CE"/>
    <w:rsid w:val="00131FE0"/>
    <w:rsid w:val="001326BB"/>
    <w:rsid w:val="001328CA"/>
    <w:rsid w:val="00132B84"/>
    <w:rsid w:val="00133222"/>
    <w:rsid w:val="0013441C"/>
    <w:rsid w:val="0013559A"/>
    <w:rsid w:val="00135926"/>
    <w:rsid w:val="00135E94"/>
    <w:rsid w:val="00136921"/>
    <w:rsid w:val="00137C20"/>
    <w:rsid w:val="001405A7"/>
    <w:rsid w:val="0014104D"/>
    <w:rsid w:val="00141236"/>
    <w:rsid w:val="001419D6"/>
    <w:rsid w:val="001419FE"/>
    <w:rsid w:val="00141A29"/>
    <w:rsid w:val="00141C90"/>
    <w:rsid w:val="00144B72"/>
    <w:rsid w:val="00146AD9"/>
    <w:rsid w:val="001472FF"/>
    <w:rsid w:val="001474F2"/>
    <w:rsid w:val="001501C3"/>
    <w:rsid w:val="001502C7"/>
    <w:rsid w:val="00150986"/>
    <w:rsid w:val="00150B07"/>
    <w:rsid w:val="00150F90"/>
    <w:rsid w:val="0015191D"/>
    <w:rsid w:val="001529FD"/>
    <w:rsid w:val="00152DDF"/>
    <w:rsid w:val="0015393F"/>
    <w:rsid w:val="00154981"/>
    <w:rsid w:val="0015538C"/>
    <w:rsid w:val="001555C7"/>
    <w:rsid w:val="001567DB"/>
    <w:rsid w:val="001569D0"/>
    <w:rsid w:val="00157C00"/>
    <w:rsid w:val="0016084E"/>
    <w:rsid w:val="0016148D"/>
    <w:rsid w:val="00161832"/>
    <w:rsid w:val="00161D37"/>
    <w:rsid w:val="001641A9"/>
    <w:rsid w:val="0016478D"/>
    <w:rsid w:val="00166657"/>
    <w:rsid w:val="00166B31"/>
    <w:rsid w:val="0016751B"/>
    <w:rsid w:val="00167652"/>
    <w:rsid w:val="00167EC6"/>
    <w:rsid w:val="00171014"/>
    <w:rsid w:val="001710B1"/>
    <w:rsid w:val="001712FF"/>
    <w:rsid w:val="00171D15"/>
    <w:rsid w:val="00171E68"/>
    <w:rsid w:val="001733A7"/>
    <w:rsid w:val="001735E0"/>
    <w:rsid w:val="00174115"/>
    <w:rsid w:val="00175B45"/>
    <w:rsid w:val="00176615"/>
    <w:rsid w:val="0017690E"/>
    <w:rsid w:val="00176D4A"/>
    <w:rsid w:val="00176ECC"/>
    <w:rsid w:val="00177A7B"/>
    <w:rsid w:val="00177D17"/>
    <w:rsid w:val="00180A65"/>
    <w:rsid w:val="00180DCA"/>
    <w:rsid w:val="00181212"/>
    <w:rsid w:val="00182570"/>
    <w:rsid w:val="00182FDD"/>
    <w:rsid w:val="00183F11"/>
    <w:rsid w:val="001847FA"/>
    <w:rsid w:val="001848FF"/>
    <w:rsid w:val="001851DD"/>
    <w:rsid w:val="00185552"/>
    <w:rsid w:val="00185757"/>
    <w:rsid w:val="0018623F"/>
    <w:rsid w:val="00186AF9"/>
    <w:rsid w:val="00187D33"/>
    <w:rsid w:val="001903A7"/>
    <w:rsid w:val="00190AF9"/>
    <w:rsid w:val="001917C1"/>
    <w:rsid w:val="00191FE3"/>
    <w:rsid w:val="00192486"/>
    <w:rsid w:val="001926D3"/>
    <w:rsid w:val="001936BE"/>
    <w:rsid w:val="00193A98"/>
    <w:rsid w:val="00193B6D"/>
    <w:rsid w:val="00194E09"/>
    <w:rsid w:val="00194E9D"/>
    <w:rsid w:val="001950DF"/>
    <w:rsid w:val="0019520A"/>
    <w:rsid w:val="00195620"/>
    <w:rsid w:val="001956AE"/>
    <w:rsid w:val="00195CB6"/>
    <w:rsid w:val="001968CC"/>
    <w:rsid w:val="0019699A"/>
    <w:rsid w:val="001A0FBE"/>
    <w:rsid w:val="001A1C13"/>
    <w:rsid w:val="001A1E13"/>
    <w:rsid w:val="001A26A9"/>
    <w:rsid w:val="001A2FCE"/>
    <w:rsid w:val="001A30B4"/>
    <w:rsid w:val="001A398F"/>
    <w:rsid w:val="001A40F8"/>
    <w:rsid w:val="001A451B"/>
    <w:rsid w:val="001A4EA5"/>
    <w:rsid w:val="001A541A"/>
    <w:rsid w:val="001A554F"/>
    <w:rsid w:val="001A600E"/>
    <w:rsid w:val="001A6BFB"/>
    <w:rsid w:val="001A6FDD"/>
    <w:rsid w:val="001B146B"/>
    <w:rsid w:val="001B17D1"/>
    <w:rsid w:val="001B1C58"/>
    <w:rsid w:val="001B1F62"/>
    <w:rsid w:val="001B24FB"/>
    <w:rsid w:val="001B267C"/>
    <w:rsid w:val="001B39F0"/>
    <w:rsid w:val="001B3B5C"/>
    <w:rsid w:val="001B4473"/>
    <w:rsid w:val="001B50A3"/>
    <w:rsid w:val="001B678B"/>
    <w:rsid w:val="001B67AA"/>
    <w:rsid w:val="001B6AE5"/>
    <w:rsid w:val="001B6B50"/>
    <w:rsid w:val="001B6FEE"/>
    <w:rsid w:val="001C00C9"/>
    <w:rsid w:val="001C064F"/>
    <w:rsid w:val="001C0DD9"/>
    <w:rsid w:val="001C0E67"/>
    <w:rsid w:val="001C1830"/>
    <w:rsid w:val="001C23F1"/>
    <w:rsid w:val="001C2AC0"/>
    <w:rsid w:val="001C3172"/>
    <w:rsid w:val="001C368D"/>
    <w:rsid w:val="001C3760"/>
    <w:rsid w:val="001C3D5C"/>
    <w:rsid w:val="001C4760"/>
    <w:rsid w:val="001C4C28"/>
    <w:rsid w:val="001C4E37"/>
    <w:rsid w:val="001C5189"/>
    <w:rsid w:val="001C5E87"/>
    <w:rsid w:val="001C65A0"/>
    <w:rsid w:val="001C795C"/>
    <w:rsid w:val="001C7DF2"/>
    <w:rsid w:val="001C7E4A"/>
    <w:rsid w:val="001D098B"/>
    <w:rsid w:val="001D112E"/>
    <w:rsid w:val="001D1E95"/>
    <w:rsid w:val="001D1F75"/>
    <w:rsid w:val="001D2247"/>
    <w:rsid w:val="001D238D"/>
    <w:rsid w:val="001D3101"/>
    <w:rsid w:val="001D358B"/>
    <w:rsid w:val="001D36AE"/>
    <w:rsid w:val="001D3C41"/>
    <w:rsid w:val="001D5191"/>
    <w:rsid w:val="001D5314"/>
    <w:rsid w:val="001D591D"/>
    <w:rsid w:val="001D596C"/>
    <w:rsid w:val="001D5C6E"/>
    <w:rsid w:val="001D5D14"/>
    <w:rsid w:val="001D6461"/>
    <w:rsid w:val="001D6F6C"/>
    <w:rsid w:val="001D72A8"/>
    <w:rsid w:val="001E00E1"/>
    <w:rsid w:val="001E05EB"/>
    <w:rsid w:val="001E2B0F"/>
    <w:rsid w:val="001E2BC1"/>
    <w:rsid w:val="001E398C"/>
    <w:rsid w:val="001E596C"/>
    <w:rsid w:val="001E61CD"/>
    <w:rsid w:val="001E67D3"/>
    <w:rsid w:val="001E69E4"/>
    <w:rsid w:val="001E6E2C"/>
    <w:rsid w:val="001E79D7"/>
    <w:rsid w:val="001E7EE8"/>
    <w:rsid w:val="001F0840"/>
    <w:rsid w:val="001F0A7B"/>
    <w:rsid w:val="001F1454"/>
    <w:rsid w:val="001F1A3F"/>
    <w:rsid w:val="001F1EBF"/>
    <w:rsid w:val="001F23CB"/>
    <w:rsid w:val="001F24C0"/>
    <w:rsid w:val="001F28D9"/>
    <w:rsid w:val="001F4134"/>
    <w:rsid w:val="001F58A3"/>
    <w:rsid w:val="001F6E2F"/>
    <w:rsid w:val="001F71C0"/>
    <w:rsid w:val="001F789C"/>
    <w:rsid w:val="001F7CE4"/>
    <w:rsid w:val="00200576"/>
    <w:rsid w:val="0020174F"/>
    <w:rsid w:val="00201D08"/>
    <w:rsid w:val="00202EFC"/>
    <w:rsid w:val="00205D47"/>
    <w:rsid w:val="0020664B"/>
    <w:rsid w:val="0020670E"/>
    <w:rsid w:val="00207F79"/>
    <w:rsid w:val="00211796"/>
    <w:rsid w:val="002119C0"/>
    <w:rsid w:val="00213944"/>
    <w:rsid w:val="00214396"/>
    <w:rsid w:val="00214E63"/>
    <w:rsid w:val="00216030"/>
    <w:rsid w:val="002164DB"/>
    <w:rsid w:val="00216628"/>
    <w:rsid w:val="00216C57"/>
    <w:rsid w:val="00216FE7"/>
    <w:rsid w:val="00217C98"/>
    <w:rsid w:val="00217E6A"/>
    <w:rsid w:val="00217F0F"/>
    <w:rsid w:val="00220752"/>
    <w:rsid w:val="002209AA"/>
    <w:rsid w:val="00220B91"/>
    <w:rsid w:val="0022112A"/>
    <w:rsid w:val="00222CDF"/>
    <w:rsid w:val="0022353B"/>
    <w:rsid w:val="00224DC6"/>
    <w:rsid w:val="00225171"/>
    <w:rsid w:val="00225614"/>
    <w:rsid w:val="00226574"/>
    <w:rsid w:val="002268AF"/>
    <w:rsid w:val="002276B1"/>
    <w:rsid w:val="00227A4C"/>
    <w:rsid w:val="00227FA3"/>
    <w:rsid w:val="00230FD2"/>
    <w:rsid w:val="00231348"/>
    <w:rsid w:val="00231AC4"/>
    <w:rsid w:val="00233B46"/>
    <w:rsid w:val="00233C55"/>
    <w:rsid w:val="002348AC"/>
    <w:rsid w:val="002353D8"/>
    <w:rsid w:val="002359AC"/>
    <w:rsid w:val="00235A95"/>
    <w:rsid w:val="0023691F"/>
    <w:rsid w:val="002414C7"/>
    <w:rsid w:val="0024190B"/>
    <w:rsid w:val="002433CC"/>
    <w:rsid w:val="0024456E"/>
    <w:rsid w:val="0024458F"/>
    <w:rsid w:val="002451F3"/>
    <w:rsid w:val="002452CE"/>
    <w:rsid w:val="00246C1C"/>
    <w:rsid w:val="00247163"/>
    <w:rsid w:val="00247D2E"/>
    <w:rsid w:val="00250647"/>
    <w:rsid w:val="00250774"/>
    <w:rsid w:val="00250ACB"/>
    <w:rsid w:val="0025129B"/>
    <w:rsid w:val="0025171E"/>
    <w:rsid w:val="0025211F"/>
    <w:rsid w:val="002528CA"/>
    <w:rsid w:val="00252E1A"/>
    <w:rsid w:val="00253A71"/>
    <w:rsid w:val="002543BA"/>
    <w:rsid w:val="00254BAB"/>
    <w:rsid w:val="00255228"/>
    <w:rsid w:val="0025539D"/>
    <w:rsid w:val="0025560C"/>
    <w:rsid w:val="00255B84"/>
    <w:rsid w:val="002572FC"/>
    <w:rsid w:val="00257380"/>
    <w:rsid w:val="00257570"/>
    <w:rsid w:val="00257C05"/>
    <w:rsid w:val="00260448"/>
    <w:rsid w:val="00261B18"/>
    <w:rsid w:val="00261C35"/>
    <w:rsid w:val="00262082"/>
    <w:rsid w:val="00263417"/>
    <w:rsid w:val="0026412E"/>
    <w:rsid w:val="00264799"/>
    <w:rsid w:val="00265626"/>
    <w:rsid w:val="002669E3"/>
    <w:rsid w:val="00267B49"/>
    <w:rsid w:val="00267F6D"/>
    <w:rsid w:val="00270D57"/>
    <w:rsid w:val="00271EDA"/>
    <w:rsid w:val="00274658"/>
    <w:rsid w:val="00275106"/>
    <w:rsid w:val="0027588F"/>
    <w:rsid w:val="002759F1"/>
    <w:rsid w:val="00276C55"/>
    <w:rsid w:val="00276DFF"/>
    <w:rsid w:val="002805DF"/>
    <w:rsid w:val="002809C2"/>
    <w:rsid w:val="002823A0"/>
    <w:rsid w:val="00284549"/>
    <w:rsid w:val="00284C29"/>
    <w:rsid w:val="002878BA"/>
    <w:rsid w:val="00287D6C"/>
    <w:rsid w:val="00290A0F"/>
    <w:rsid w:val="00291752"/>
    <w:rsid w:val="00292388"/>
    <w:rsid w:val="002924FC"/>
    <w:rsid w:val="00294609"/>
    <w:rsid w:val="0029460B"/>
    <w:rsid w:val="00294857"/>
    <w:rsid w:val="00294B86"/>
    <w:rsid w:val="002970C1"/>
    <w:rsid w:val="00297748"/>
    <w:rsid w:val="00297C24"/>
    <w:rsid w:val="00297FBA"/>
    <w:rsid w:val="002A1E8A"/>
    <w:rsid w:val="002A246A"/>
    <w:rsid w:val="002A2AAC"/>
    <w:rsid w:val="002A2E66"/>
    <w:rsid w:val="002A2F07"/>
    <w:rsid w:val="002A3A1A"/>
    <w:rsid w:val="002A3E76"/>
    <w:rsid w:val="002A4816"/>
    <w:rsid w:val="002A4B2D"/>
    <w:rsid w:val="002A51F1"/>
    <w:rsid w:val="002A5649"/>
    <w:rsid w:val="002A5CA1"/>
    <w:rsid w:val="002A6B5C"/>
    <w:rsid w:val="002A79E0"/>
    <w:rsid w:val="002B1BF1"/>
    <w:rsid w:val="002B1D16"/>
    <w:rsid w:val="002B1D4F"/>
    <w:rsid w:val="002B1EAA"/>
    <w:rsid w:val="002B26A3"/>
    <w:rsid w:val="002B28B3"/>
    <w:rsid w:val="002B3323"/>
    <w:rsid w:val="002B3AF6"/>
    <w:rsid w:val="002B507A"/>
    <w:rsid w:val="002B5FB2"/>
    <w:rsid w:val="002C061F"/>
    <w:rsid w:val="002C0B90"/>
    <w:rsid w:val="002C0BD6"/>
    <w:rsid w:val="002C0CE5"/>
    <w:rsid w:val="002C27D1"/>
    <w:rsid w:val="002C29B8"/>
    <w:rsid w:val="002C3380"/>
    <w:rsid w:val="002C3F36"/>
    <w:rsid w:val="002C43F5"/>
    <w:rsid w:val="002C4E04"/>
    <w:rsid w:val="002C544A"/>
    <w:rsid w:val="002C57BB"/>
    <w:rsid w:val="002C5D0B"/>
    <w:rsid w:val="002C73AC"/>
    <w:rsid w:val="002C774B"/>
    <w:rsid w:val="002D015C"/>
    <w:rsid w:val="002D0C22"/>
    <w:rsid w:val="002D122A"/>
    <w:rsid w:val="002D18E3"/>
    <w:rsid w:val="002D1B90"/>
    <w:rsid w:val="002D1C61"/>
    <w:rsid w:val="002D2A0B"/>
    <w:rsid w:val="002D3EB1"/>
    <w:rsid w:val="002D403F"/>
    <w:rsid w:val="002D47FD"/>
    <w:rsid w:val="002D4E8E"/>
    <w:rsid w:val="002D4EAC"/>
    <w:rsid w:val="002D5107"/>
    <w:rsid w:val="002D5D71"/>
    <w:rsid w:val="002D6131"/>
    <w:rsid w:val="002D6C67"/>
    <w:rsid w:val="002D7609"/>
    <w:rsid w:val="002D7B0A"/>
    <w:rsid w:val="002E0AF9"/>
    <w:rsid w:val="002E19C4"/>
    <w:rsid w:val="002E228B"/>
    <w:rsid w:val="002E24CC"/>
    <w:rsid w:val="002E2F1D"/>
    <w:rsid w:val="002E35A6"/>
    <w:rsid w:val="002E3837"/>
    <w:rsid w:val="002E3EBA"/>
    <w:rsid w:val="002E44AB"/>
    <w:rsid w:val="002E492F"/>
    <w:rsid w:val="002E4AA1"/>
    <w:rsid w:val="002E563B"/>
    <w:rsid w:val="002E64E4"/>
    <w:rsid w:val="002E67AA"/>
    <w:rsid w:val="002E78DB"/>
    <w:rsid w:val="002E7A89"/>
    <w:rsid w:val="002F0698"/>
    <w:rsid w:val="002F115A"/>
    <w:rsid w:val="002F1CF1"/>
    <w:rsid w:val="002F31C6"/>
    <w:rsid w:val="002F3212"/>
    <w:rsid w:val="002F3266"/>
    <w:rsid w:val="002F369B"/>
    <w:rsid w:val="002F43C7"/>
    <w:rsid w:val="002F43E7"/>
    <w:rsid w:val="002F487F"/>
    <w:rsid w:val="002F5629"/>
    <w:rsid w:val="00300716"/>
    <w:rsid w:val="003029EF"/>
    <w:rsid w:val="0030340C"/>
    <w:rsid w:val="0030374E"/>
    <w:rsid w:val="00303866"/>
    <w:rsid w:val="003044ED"/>
    <w:rsid w:val="003048B9"/>
    <w:rsid w:val="00305596"/>
    <w:rsid w:val="00305E4B"/>
    <w:rsid w:val="00305F8F"/>
    <w:rsid w:val="003068A3"/>
    <w:rsid w:val="00306923"/>
    <w:rsid w:val="00307C5E"/>
    <w:rsid w:val="003129B3"/>
    <w:rsid w:val="0031350A"/>
    <w:rsid w:val="00313DD9"/>
    <w:rsid w:val="003141D1"/>
    <w:rsid w:val="0031438D"/>
    <w:rsid w:val="00314A4C"/>
    <w:rsid w:val="00315123"/>
    <w:rsid w:val="0031577E"/>
    <w:rsid w:val="00317F32"/>
    <w:rsid w:val="00320855"/>
    <w:rsid w:val="00320950"/>
    <w:rsid w:val="00320B14"/>
    <w:rsid w:val="003215CC"/>
    <w:rsid w:val="003223E6"/>
    <w:rsid w:val="003230CE"/>
    <w:rsid w:val="0032315B"/>
    <w:rsid w:val="00324BC6"/>
    <w:rsid w:val="00325CED"/>
    <w:rsid w:val="00326682"/>
    <w:rsid w:val="00326D8B"/>
    <w:rsid w:val="00326FB2"/>
    <w:rsid w:val="0032730A"/>
    <w:rsid w:val="00327FC7"/>
    <w:rsid w:val="003300A5"/>
    <w:rsid w:val="00330FA6"/>
    <w:rsid w:val="00332588"/>
    <w:rsid w:val="003329F3"/>
    <w:rsid w:val="00332A25"/>
    <w:rsid w:val="00333912"/>
    <w:rsid w:val="00334EB6"/>
    <w:rsid w:val="00335708"/>
    <w:rsid w:val="00335D87"/>
    <w:rsid w:val="0033635B"/>
    <w:rsid w:val="0033664E"/>
    <w:rsid w:val="00336B32"/>
    <w:rsid w:val="00336C0B"/>
    <w:rsid w:val="003371AA"/>
    <w:rsid w:val="00337748"/>
    <w:rsid w:val="0034034F"/>
    <w:rsid w:val="00340EA7"/>
    <w:rsid w:val="0034123D"/>
    <w:rsid w:val="003419FB"/>
    <w:rsid w:val="00341C0E"/>
    <w:rsid w:val="00341DB5"/>
    <w:rsid w:val="00341E17"/>
    <w:rsid w:val="00342137"/>
    <w:rsid w:val="00343A84"/>
    <w:rsid w:val="00343B71"/>
    <w:rsid w:val="00343E48"/>
    <w:rsid w:val="00345187"/>
    <w:rsid w:val="003458BA"/>
    <w:rsid w:val="00345EDB"/>
    <w:rsid w:val="003460D3"/>
    <w:rsid w:val="00347B0A"/>
    <w:rsid w:val="00350DE4"/>
    <w:rsid w:val="0035140C"/>
    <w:rsid w:val="00351B8F"/>
    <w:rsid w:val="0035220B"/>
    <w:rsid w:val="0035281B"/>
    <w:rsid w:val="003529D8"/>
    <w:rsid w:val="0035626D"/>
    <w:rsid w:val="00356293"/>
    <w:rsid w:val="003564BF"/>
    <w:rsid w:val="00356B7E"/>
    <w:rsid w:val="00356D13"/>
    <w:rsid w:val="0035744A"/>
    <w:rsid w:val="003577A3"/>
    <w:rsid w:val="00357963"/>
    <w:rsid w:val="00361A29"/>
    <w:rsid w:val="00361ADB"/>
    <w:rsid w:val="0036272F"/>
    <w:rsid w:val="00363FB8"/>
    <w:rsid w:val="0036590D"/>
    <w:rsid w:val="00365B61"/>
    <w:rsid w:val="003666A1"/>
    <w:rsid w:val="00366958"/>
    <w:rsid w:val="003674E7"/>
    <w:rsid w:val="00371032"/>
    <w:rsid w:val="00371641"/>
    <w:rsid w:val="00371646"/>
    <w:rsid w:val="00372A51"/>
    <w:rsid w:val="003732F3"/>
    <w:rsid w:val="003735CD"/>
    <w:rsid w:val="00373EA6"/>
    <w:rsid w:val="00374A14"/>
    <w:rsid w:val="00374DEB"/>
    <w:rsid w:val="00376351"/>
    <w:rsid w:val="0037648A"/>
    <w:rsid w:val="00376CB5"/>
    <w:rsid w:val="00377670"/>
    <w:rsid w:val="003777F5"/>
    <w:rsid w:val="00377A3A"/>
    <w:rsid w:val="00381197"/>
    <w:rsid w:val="0038269A"/>
    <w:rsid w:val="003838C3"/>
    <w:rsid w:val="00383BA0"/>
    <w:rsid w:val="00385226"/>
    <w:rsid w:val="00385B11"/>
    <w:rsid w:val="00385CA8"/>
    <w:rsid w:val="003868C9"/>
    <w:rsid w:val="00387054"/>
    <w:rsid w:val="003874F5"/>
    <w:rsid w:val="003877DC"/>
    <w:rsid w:val="003878DD"/>
    <w:rsid w:val="00387B44"/>
    <w:rsid w:val="00390EC2"/>
    <w:rsid w:val="003927FC"/>
    <w:rsid w:val="00392A8F"/>
    <w:rsid w:val="00392C75"/>
    <w:rsid w:val="0039328C"/>
    <w:rsid w:val="0039425F"/>
    <w:rsid w:val="0039448B"/>
    <w:rsid w:val="0039468C"/>
    <w:rsid w:val="00394B35"/>
    <w:rsid w:val="00394CE0"/>
    <w:rsid w:val="0039532F"/>
    <w:rsid w:val="003955A9"/>
    <w:rsid w:val="00395BF4"/>
    <w:rsid w:val="00395F52"/>
    <w:rsid w:val="0039682E"/>
    <w:rsid w:val="00396949"/>
    <w:rsid w:val="00396BDE"/>
    <w:rsid w:val="00397045"/>
    <w:rsid w:val="0039708B"/>
    <w:rsid w:val="00397538"/>
    <w:rsid w:val="00397D15"/>
    <w:rsid w:val="003A056E"/>
    <w:rsid w:val="003A05F6"/>
    <w:rsid w:val="003A14B2"/>
    <w:rsid w:val="003A2CF8"/>
    <w:rsid w:val="003A2ED3"/>
    <w:rsid w:val="003A35A9"/>
    <w:rsid w:val="003A3B6F"/>
    <w:rsid w:val="003A48D4"/>
    <w:rsid w:val="003A4F61"/>
    <w:rsid w:val="003A5419"/>
    <w:rsid w:val="003A59FE"/>
    <w:rsid w:val="003A720C"/>
    <w:rsid w:val="003A79DD"/>
    <w:rsid w:val="003A7A9B"/>
    <w:rsid w:val="003B0EF3"/>
    <w:rsid w:val="003B25CE"/>
    <w:rsid w:val="003B465A"/>
    <w:rsid w:val="003B5203"/>
    <w:rsid w:val="003B5235"/>
    <w:rsid w:val="003B5436"/>
    <w:rsid w:val="003B7606"/>
    <w:rsid w:val="003C1C90"/>
    <w:rsid w:val="003C27A7"/>
    <w:rsid w:val="003C365D"/>
    <w:rsid w:val="003C3BD7"/>
    <w:rsid w:val="003C401D"/>
    <w:rsid w:val="003C42C5"/>
    <w:rsid w:val="003C42E5"/>
    <w:rsid w:val="003C4A39"/>
    <w:rsid w:val="003C4AB5"/>
    <w:rsid w:val="003C50A9"/>
    <w:rsid w:val="003C55C1"/>
    <w:rsid w:val="003C579F"/>
    <w:rsid w:val="003C5C6E"/>
    <w:rsid w:val="003C5FCC"/>
    <w:rsid w:val="003C67E5"/>
    <w:rsid w:val="003C77A5"/>
    <w:rsid w:val="003C7BD3"/>
    <w:rsid w:val="003C7FEB"/>
    <w:rsid w:val="003D0427"/>
    <w:rsid w:val="003D10CF"/>
    <w:rsid w:val="003D2EF8"/>
    <w:rsid w:val="003D3185"/>
    <w:rsid w:val="003D323A"/>
    <w:rsid w:val="003D372B"/>
    <w:rsid w:val="003D3F34"/>
    <w:rsid w:val="003D55CA"/>
    <w:rsid w:val="003D5E44"/>
    <w:rsid w:val="003D63FF"/>
    <w:rsid w:val="003D6FBF"/>
    <w:rsid w:val="003D7E94"/>
    <w:rsid w:val="003E0B06"/>
    <w:rsid w:val="003E15E7"/>
    <w:rsid w:val="003E1704"/>
    <w:rsid w:val="003E384D"/>
    <w:rsid w:val="003E40BD"/>
    <w:rsid w:val="003E5407"/>
    <w:rsid w:val="003E54C2"/>
    <w:rsid w:val="003E775E"/>
    <w:rsid w:val="003F1360"/>
    <w:rsid w:val="003F16E2"/>
    <w:rsid w:val="003F1BE0"/>
    <w:rsid w:val="003F220B"/>
    <w:rsid w:val="003F2802"/>
    <w:rsid w:val="003F2E37"/>
    <w:rsid w:val="003F2E6A"/>
    <w:rsid w:val="003F3392"/>
    <w:rsid w:val="003F4573"/>
    <w:rsid w:val="003F492E"/>
    <w:rsid w:val="003F4DC8"/>
    <w:rsid w:val="003F55EB"/>
    <w:rsid w:val="003F5F1B"/>
    <w:rsid w:val="003F6E80"/>
    <w:rsid w:val="003F747D"/>
    <w:rsid w:val="003F7882"/>
    <w:rsid w:val="004005C2"/>
    <w:rsid w:val="00400701"/>
    <w:rsid w:val="00400964"/>
    <w:rsid w:val="00401B3D"/>
    <w:rsid w:val="00401E6A"/>
    <w:rsid w:val="004026A6"/>
    <w:rsid w:val="00403FD3"/>
    <w:rsid w:val="004042C9"/>
    <w:rsid w:val="00404301"/>
    <w:rsid w:val="00404CE8"/>
    <w:rsid w:val="004060EC"/>
    <w:rsid w:val="004070E4"/>
    <w:rsid w:val="0041028F"/>
    <w:rsid w:val="00410B89"/>
    <w:rsid w:val="00410BAF"/>
    <w:rsid w:val="00411711"/>
    <w:rsid w:val="00411830"/>
    <w:rsid w:val="00411C0B"/>
    <w:rsid w:val="004123D2"/>
    <w:rsid w:val="00412C0F"/>
    <w:rsid w:val="00412E62"/>
    <w:rsid w:val="00414062"/>
    <w:rsid w:val="004149DF"/>
    <w:rsid w:val="00414F04"/>
    <w:rsid w:val="00415127"/>
    <w:rsid w:val="00415563"/>
    <w:rsid w:val="00415EB8"/>
    <w:rsid w:val="004165E2"/>
    <w:rsid w:val="00416603"/>
    <w:rsid w:val="0041674F"/>
    <w:rsid w:val="0041682C"/>
    <w:rsid w:val="00416A81"/>
    <w:rsid w:val="004179A9"/>
    <w:rsid w:val="004217E8"/>
    <w:rsid w:val="004219CF"/>
    <w:rsid w:val="00425511"/>
    <w:rsid w:val="00425642"/>
    <w:rsid w:val="00425C44"/>
    <w:rsid w:val="004269E3"/>
    <w:rsid w:val="00426A79"/>
    <w:rsid w:val="00426D9F"/>
    <w:rsid w:val="00427780"/>
    <w:rsid w:val="004277C4"/>
    <w:rsid w:val="00427D68"/>
    <w:rsid w:val="0043066C"/>
    <w:rsid w:val="004306A4"/>
    <w:rsid w:val="00430BC1"/>
    <w:rsid w:val="0043133C"/>
    <w:rsid w:val="00431867"/>
    <w:rsid w:val="00432778"/>
    <w:rsid w:val="00433268"/>
    <w:rsid w:val="0043345F"/>
    <w:rsid w:val="004335A9"/>
    <w:rsid w:val="004337F8"/>
    <w:rsid w:val="004348C8"/>
    <w:rsid w:val="00434BD1"/>
    <w:rsid w:val="004351ED"/>
    <w:rsid w:val="004354FC"/>
    <w:rsid w:val="00435BAD"/>
    <w:rsid w:val="00436507"/>
    <w:rsid w:val="00436D98"/>
    <w:rsid w:val="00437C8C"/>
    <w:rsid w:val="00440621"/>
    <w:rsid w:val="00440C47"/>
    <w:rsid w:val="00440F77"/>
    <w:rsid w:val="0044106F"/>
    <w:rsid w:val="00441C81"/>
    <w:rsid w:val="00443411"/>
    <w:rsid w:val="00443660"/>
    <w:rsid w:val="00444E39"/>
    <w:rsid w:val="0044624A"/>
    <w:rsid w:val="0044679A"/>
    <w:rsid w:val="00446D0C"/>
    <w:rsid w:val="00446DEB"/>
    <w:rsid w:val="00447CB0"/>
    <w:rsid w:val="00447DC0"/>
    <w:rsid w:val="00447FC7"/>
    <w:rsid w:val="0045089A"/>
    <w:rsid w:val="00450AA9"/>
    <w:rsid w:val="00452340"/>
    <w:rsid w:val="004523C0"/>
    <w:rsid w:val="004531FE"/>
    <w:rsid w:val="004532AD"/>
    <w:rsid w:val="00453512"/>
    <w:rsid w:val="0045446D"/>
    <w:rsid w:val="00454B7A"/>
    <w:rsid w:val="00455192"/>
    <w:rsid w:val="00455B03"/>
    <w:rsid w:val="004561D8"/>
    <w:rsid w:val="0045687E"/>
    <w:rsid w:val="00456BCB"/>
    <w:rsid w:val="004570BE"/>
    <w:rsid w:val="004577CF"/>
    <w:rsid w:val="00457C0E"/>
    <w:rsid w:val="004607DF"/>
    <w:rsid w:val="004609FB"/>
    <w:rsid w:val="004610E0"/>
    <w:rsid w:val="0046126A"/>
    <w:rsid w:val="004618E1"/>
    <w:rsid w:val="00462135"/>
    <w:rsid w:val="00462492"/>
    <w:rsid w:val="00462EE4"/>
    <w:rsid w:val="00464098"/>
    <w:rsid w:val="00464730"/>
    <w:rsid w:val="00464DA5"/>
    <w:rsid w:val="00464ED0"/>
    <w:rsid w:val="004654FC"/>
    <w:rsid w:val="004660CE"/>
    <w:rsid w:val="00466124"/>
    <w:rsid w:val="00466273"/>
    <w:rsid w:val="0046684D"/>
    <w:rsid w:val="00466F32"/>
    <w:rsid w:val="004670FF"/>
    <w:rsid w:val="004677F8"/>
    <w:rsid w:val="00471B16"/>
    <w:rsid w:val="00472B07"/>
    <w:rsid w:val="00473AC0"/>
    <w:rsid w:val="00473ADC"/>
    <w:rsid w:val="00474CAA"/>
    <w:rsid w:val="00475538"/>
    <w:rsid w:val="004760BD"/>
    <w:rsid w:val="004768A0"/>
    <w:rsid w:val="004768CA"/>
    <w:rsid w:val="00476988"/>
    <w:rsid w:val="0048061F"/>
    <w:rsid w:val="00480A73"/>
    <w:rsid w:val="004824FA"/>
    <w:rsid w:val="004826CC"/>
    <w:rsid w:val="004831C0"/>
    <w:rsid w:val="00483943"/>
    <w:rsid w:val="00483E23"/>
    <w:rsid w:val="00483EF7"/>
    <w:rsid w:val="00484366"/>
    <w:rsid w:val="004859E8"/>
    <w:rsid w:val="0048734D"/>
    <w:rsid w:val="00490B2D"/>
    <w:rsid w:val="00491802"/>
    <w:rsid w:val="00491B91"/>
    <w:rsid w:val="00493C78"/>
    <w:rsid w:val="004948C9"/>
    <w:rsid w:val="00494C39"/>
    <w:rsid w:val="00494DFF"/>
    <w:rsid w:val="00496B52"/>
    <w:rsid w:val="00497FEB"/>
    <w:rsid w:val="004A0394"/>
    <w:rsid w:val="004A0B98"/>
    <w:rsid w:val="004A0F98"/>
    <w:rsid w:val="004A113F"/>
    <w:rsid w:val="004A155D"/>
    <w:rsid w:val="004A2833"/>
    <w:rsid w:val="004A2F52"/>
    <w:rsid w:val="004A3BED"/>
    <w:rsid w:val="004A475D"/>
    <w:rsid w:val="004A4C98"/>
    <w:rsid w:val="004A5598"/>
    <w:rsid w:val="004A6FED"/>
    <w:rsid w:val="004B016B"/>
    <w:rsid w:val="004B07C2"/>
    <w:rsid w:val="004B0997"/>
    <w:rsid w:val="004B0B70"/>
    <w:rsid w:val="004B16DA"/>
    <w:rsid w:val="004B2136"/>
    <w:rsid w:val="004B2AE0"/>
    <w:rsid w:val="004B2F90"/>
    <w:rsid w:val="004B30E2"/>
    <w:rsid w:val="004B331F"/>
    <w:rsid w:val="004B378D"/>
    <w:rsid w:val="004B43BB"/>
    <w:rsid w:val="004B607B"/>
    <w:rsid w:val="004B6221"/>
    <w:rsid w:val="004B6DC5"/>
    <w:rsid w:val="004B724F"/>
    <w:rsid w:val="004B739A"/>
    <w:rsid w:val="004B77BE"/>
    <w:rsid w:val="004B79DD"/>
    <w:rsid w:val="004B7C0B"/>
    <w:rsid w:val="004C0475"/>
    <w:rsid w:val="004C10BB"/>
    <w:rsid w:val="004C1153"/>
    <w:rsid w:val="004C1550"/>
    <w:rsid w:val="004C1ACF"/>
    <w:rsid w:val="004C1CA6"/>
    <w:rsid w:val="004C21B9"/>
    <w:rsid w:val="004C3923"/>
    <w:rsid w:val="004C405A"/>
    <w:rsid w:val="004C4CB9"/>
    <w:rsid w:val="004C5101"/>
    <w:rsid w:val="004C56B5"/>
    <w:rsid w:val="004C6D3C"/>
    <w:rsid w:val="004C72AC"/>
    <w:rsid w:val="004C7511"/>
    <w:rsid w:val="004C7CA7"/>
    <w:rsid w:val="004C7CB3"/>
    <w:rsid w:val="004C7E97"/>
    <w:rsid w:val="004D0687"/>
    <w:rsid w:val="004D07F3"/>
    <w:rsid w:val="004D12F1"/>
    <w:rsid w:val="004D1579"/>
    <w:rsid w:val="004D1E60"/>
    <w:rsid w:val="004D20DF"/>
    <w:rsid w:val="004D21C7"/>
    <w:rsid w:val="004D27CB"/>
    <w:rsid w:val="004D2F79"/>
    <w:rsid w:val="004D361F"/>
    <w:rsid w:val="004D37BA"/>
    <w:rsid w:val="004D3D3F"/>
    <w:rsid w:val="004D3EF5"/>
    <w:rsid w:val="004D43A4"/>
    <w:rsid w:val="004D4764"/>
    <w:rsid w:val="004D6525"/>
    <w:rsid w:val="004D66AF"/>
    <w:rsid w:val="004D6B0B"/>
    <w:rsid w:val="004D6C75"/>
    <w:rsid w:val="004D7522"/>
    <w:rsid w:val="004D7C83"/>
    <w:rsid w:val="004D7F77"/>
    <w:rsid w:val="004E0B8D"/>
    <w:rsid w:val="004E352B"/>
    <w:rsid w:val="004E357F"/>
    <w:rsid w:val="004E37E2"/>
    <w:rsid w:val="004E61E5"/>
    <w:rsid w:val="004E681D"/>
    <w:rsid w:val="004E682D"/>
    <w:rsid w:val="004E7381"/>
    <w:rsid w:val="004F0AA6"/>
    <w:rsid w:val="004F133B"/>
    <w:rsid w:val="004F159C"/>
    <w:rsid w:val="004F1F5B"/>
    <w:rsid w:val="004F2051"/>
    <w:rsid w:val="004F2D03"/>
    <w:rsid w:val="004F32C1"/>
    <w:rsid w:val="004F3D57"/>
    <w:rsid w:val="004F49E3"/>
    <w:rsid w:val="004F4F29"/>
    <w:rsid w:val="004F5505"/>
    <w:rsid w:val="004F5852"/>
    <w:rsid w:val="004F76C2"/>
    <w:rsid w:val="00500B7D"/>
    <w:rsid w:val="005015BA"/>
    <w:rsid w:val="00501600"/>
    <w:rsid w:val="0050179C"/>
    <w:rsid w:val="00501894"/>
    <w:rsid w:val="00501C05"/>
    <w:rsid w:val="005022A1"/>
    <w:rsid w:val="005026BD"/>
    <w:rsid w:val="0050288F"/>
    <w:rsid w:val="00502AD2"/>
    <w:rsid w:val="00502BEA"/>
    <w:rsid w:val="00503846"/>
    <w:rsid w:val="00503A99"/>
    <w:rsid w:val="00503D7D"/>
    <w:rsid w:val="00503F29"/>
    <w:rsid w:val="00504A51"/>
    <w:rsid w:val="00504F28"/>
    <w:rsid w:val="00505A6E"/>
    <w:rsid w:val="00506895"/>
    <w:rsid w:val="00507A90"/>
    <w:rsid w:val="00507C6E"/>
    <w:rsid w:val="00510756"/>
    <w:rsid w:val="00511A03"/>
    <w:rsid w:val="00513192"/>
    <w:rsid w:val="00513379"/>
    <w:rsid w:val="00514120"/>
    <w:rsid w:val="00514198"/>
    <w:rsid w:val="00514680"/>
    <w:rsid w:val="005147CB"/>
    <w:rsid w:val="00514A46"/>
    <w:rsid w:val="00514DB8"/>
    <w:rsid w:val="00515731"/>
    <w:rsid w:val="005158F8"/>
    <w:rsid w:val="00516FC1"/>
    <w:rsid w:val="005174C8"/>
    <w:rsid w:val="00520633"/>
    <w:rsid w:val="00521876"/>
    <w:rsid w:val="005241BD"/>
    <w:rsid w:val="0052434E"/>
    <w:rsid w:val="00526044"/>
    <w:rsid w:val="005261C9"/>
    <w:rsid w:val="0052688C"/>
    <w:rsid w:val="005276D3"/>
    <w:rsid w:val="00530B81"/>
    <w:rsid w:val="00530EEA"/>
    <w:rsid w:val="0053121B"/>
    <w:rsid w:val="00531647"/>
    <w:rsid w:val="00532306"/>
    <w:rsid w:val="005329BB"/>
    <w:rsid w:val="00533219"/>
    <w:rsid w:val="005335B0"/>
    <w:rsid w:val="0053421E"/>
    <w:rsid w:val="00535450"/>
    <w:rsid w:val="00535AAA"/>
    <w:rsid w:val="00535E12"/>
    <w:rsid w:val="00536C14"/>
    <w:rsid w:val="0053750A"/>
    <w:rsid w:val="00537B63"/>
    <w:rsid w:val="00540409"/>
    <w:rsid w:val="00540B80"/>
    <w:rsid w:val="005421CA"/>
    <w:rsid w:val="0054230C"/>
    <w:rsid w:val="00544191"/>
    <w:rsid w:val="00544B40"/>
    <w:rsid w:val="00544FB2"/>
    <w:rsid w:val="00545912"/>
    <w:rsid w:val="00550269"/>
    <w:rsid w:val="0055134D"/>
    <w:rsid w:val="00551698"/>
    <w:rsid w:val="00552093"/>
    <w:rsid w:val="00552264"/>
    <w:rsid w:val="00552BB0"/>
    <w:rsid w:val="005533AB"/>
    <w:rsid w:val="00553619"/>
    <w:rsid w:val="0055375A"/>
    <w:rsid w:val="00554777"/>
    <w:rsid w:val="00555DB4"/>
    <w:rsid w:val="00556471"/>
    <w:rsid w:val="00556497"/>
    <w:rsid w:val="00556D81"/>
    <w:rsid w:val="00557090"/>
    <w:rsid w:val="00557172"/>
    <w:rsid w:val="0055751C"/>
    <w:rsid w:val="0056025E"/>
    <w:rsid w:val="00561879"/>
    <w:rsid w:val="00562462"/>
    <w:rsid w:val="005629F0"/>
    <w:rsid w:val="00563194"/>
    <w:rsid w:val="005636D4"/>
    <w:rsid w:val="005642DF"/>
    <w:rsid w:val="0056660A"/>
    <w:rsid w:val="00566847"/>
    <w:rsid w:val="005668FB"/>
    <w:rsid w:val="0056767A"/>
    <w:rsid w:val="00571996"/>
    <w:rsid w:val="00571A20"/>
    <w:rsid w:val="00571FAA"/>
    <w:rsid w:val="00572263"/>
    <w:rsid w:val="00572E5A"/>
    <w:rsid w:val="00573071"/>
    <w:rsid w:val="005731D5"/>
    <w:rsid w:val="0057368C"/>
    <w:rsid w:val="005745BD"/>
    <w:rsid w:val="00574692"/>
    <w:rsid w:val="00574909"/>
    <w:rsid w:val="00574D45"/>
    <w:rsid w:val="00575C3A"/>
    <w:rsid w:val="0057677F"/>
    <w:rsid w:val="00576A41"/>
    <w:rsid w:val="0057792A"/>
    <w:rsid w:val="00577C27"/>
    <w:rsid w:val="00581A78"/>
    <w:rsid w:val="00581D29"/>
    <w:rsid w:val="00582813"/>
    <w:rsid w:val="00582925"/>
    <w:rsid w:val="00582E53"/>
    <w:rsid w:val="005838E7"/>
    <w:rsid w:val="0058449A"/>
    <w:rsid w:val="005857A7"/>
    <w:rsid w:val="00586828"/>
    <w:rsid w:val="00587037"/>
    <w:rsid w:val="0058718F"/>
    <w:rsid w:val="00587742"/>
    <w:rsid w:val="0058789D"/>
    <w:rsid w:val="005878DB"/>
    <w:rsid w:val="00590040"/>
    <w:rsid w:val="005903A7"/>
    <w:rsid w:val="00590FB9"/>
    <w:rsid w:val="00591224"/>
    <w:rsid w:val="00591307"/>
    <w:rsid w:val="00591800"/>
    <w:rsid w:val="00592CE3"/>
    <w:rsid w:val="00592E18"/>
    <w:rsid w:val="005948EC"/>
    <w:rsid w:val="005949EC"/>
    <w:rsid w:val="005950F9"/>
    <w:rsid w:val="00595484"/>
    <w:rsid w:val="005958ED"/>
    <w:rsid w:val="00595955"/>
    <w:rsid w:val="00596002"/>
    <w:rsid w:val="0059681A"/>
    <w:rsid w:val="00597096"/>
    <w:rsid w:val="005A006F"/>
    <w:rsid w:val="005A009C"/>
    <w:rsid w:val="005A0BF9"/>
    <w:rsid w:val="005A0E02"/>
    <w:rsid w:val="005A1959"/>
    <w:rsid w:val="005A1CF6"/>
    <w:rsid w:val="005A293E"/>
    <w:rsid w:val="005A3A69"/>
    <w:rsid w:val="005A4DB1"/>
    <w:rsid w:val="005A5137"/>
    <w:rsid w:val="005A5213"/>
    <w:rsid w:val="005A541A"/>
    <w:rsid w:val="005A5A25"/>
    <w:rsid w:val="005A788C"/>
    <w:rsid w:val="005A7B9C"/>
    <w:rsid w:val="005B036F"/>
    <w:rsid w:val="005B0D22"/>
    <w:rsid w:val="005B12BE"/>
    <w:rsid w:val="005B1494"/>
    <w:rsid w:val="005B1703"/>
    <w:rsid w:val="005B17B0"/>
    <w:rsid w:val="005B326B"/>
    <w:rsid w:val="005B363C"/>
    <w:rsid w:val="005B367E"/>
    <w:rsid w:val="005B42AD"/>
    <w:rsid w:val="005B54DB"/>
    <w:rsid w:val="005B5D09"/>
    <w:rsid w:val="005B5E98"/>
    <w:rsid w:val="005B6502"/>
    <w:rsid w:val="005B674A"/>
    <w:rsid w:val="005B6F16"/>
    <w:rsid w:val="005B74CD"/>
    <w:rsid w:val="005C0120"/>
    <w:rsid w:val="005C1467"/>
    <w:rsid w:val="005C15F0"/>
    <w:rsid w:val="005C1B0C"/>
    <w:rsid w:val="005C2187"/>
    <w:rsid w:val="005C2861"/>
    <w:rsid w:val="005C2E07"/>
    <w:rsid w:val="005C2EA2"/>
    <w:rsid w:val="005C3C3F"/>
    <w:rsid w:val="005C4C51"/>
    <w:rsid w:val="005C4D5A"/>
    <w:rsid w:val="005C590B"/>
    <w:rsid w:val="005C5BF3"/>
    <w:rsid w:val="005C6039"/>
    <w:rsid w:val="005C673B"/>
    <w:rsid w:val="005C6D3E"/>
    <w:rsid w:val="005C74E5"/>
    <w:rsid w:val="005C79C7"/>
    <w:rsid w:val="005D1AEE"/>
    <w:rsid w:val="005D51EC"/>
    <w:rsid w:val="005D54C3"/>
    <w:rsid w:val="005D567A"/>
    <w:rsid w:val="005D58A4"/>
    <w:rsid w:val="005D5A60"/>
    <w:rsid w:val="005D69C0"/>
    <w:rsid w:val="005D6A02"/>
    <w:rsid w:val="005E03F4"/>
    <w:rsid w:val="005E0F7E"/>
    <w:rsid w:val="005E2754"/>
    <w:rsid w:val="005E28CD"/>
    <w:rsid w:val="005E2B9E"/>
    <w:rsid w:val="005E2D2B"/>
    <w:rsid w:val="005E373C"/>
    <w:rsid w:val="005E37C0"/>
    <w:rsid w:val="005E39FD"/>
    <w:rsid w:val="005E5391"/>
    <w:rsid w:val="005E6BAC"/>
    <w:rsid w:val="005E735E"/>
    <w:rsid w:val="005E7E9E"/>
    <w:rsid w:val="005E7F62"/>
    <w:rsid w:val="005F00C1"/>
    <w:rsid w:val="005F09B7"/>
    <w:rsid w:val="005F0AC5"/>
    <w:rsid w:val="005F2776"/>
    <w:rsid w:val="005F2F1B"/>
    <w:rsid w:val="005F3661"/>
    <w:rsid w:val="005F4029"/>
    <w:rsid w:val="005F5450"/>
    <w:rsid w:val="005F5DB2"/>
    <w:rsid w:val="005F60AA"/>
    <w:rsid w:val="00600135"/>
    <w:rsid w:val="006001EB"/>
    <w:rsid w:val="006004E9"/>
    <w:rsid w:val="006007FB"/>
    <w:rsid w:val="006017DF"/>
    <w:rsid w:val="00601E93"/>
    <w:rsid w:val="006033B4"/>
    <w:rsid w:val="006052A0"/>
    <w:rsid w:val="006054F3"/>
    <w:rsid w:val="006057ED"/>
    <w:rsid w:val="00605ADA"/>
    <w:rsid w:val="00605B45"/>
    <w:rsid w:val="00606E2A"/>
    <w:rsid w:val="0060710F"/>
    <w:rsid w:val="00607F58"/>
    <w:rsid w:val="00607F5F"/>
    <w:rsid w:val="006108A5"/>
    <w:rsid w:val="00610AFB"/>
    <w:rsid w:val="00611A35"/>
    <w:rsid w:val="00611C54"/>
    <w:rsid w:val="006121C7"/>
    <w:rsid w:val="00612A80"/>
    <w:rsid w:val="00612AC3"/>
    <w:rsid w:val="00612C99"/>
    <w:rsid w:val="00613D93"/>
    <w:rsid w:val="0061490C"/>
    <w:rsid w:val="00614A9A"/>
    <w:rsid w:val="00614DAE"/>
    <w:rsid w:val="00615FE5"/>
    <w:rsid w:val="00616158"/>
    <w:rsid w:val="00617A2E"/>
    <w:rsid w:val="0062013C"/>
    <w:rsid w:val="006203F2"/>
    <w:rsid w:val="00620B95"/>
    <w:rsid w:val="00620DB8"/>
    <w:rsid w:val="00621381"/>
    <w:rsid w:val="00621E7B"/>
    <w:rsid w:val="00622C0F"/>
    <w:rsid w:val="006231E9"/>
    <w:rsid w:val="00623D5C"/>
    <w:rsid w:val="00624529"/>
    <w:rsid w:val="00624BC3"/>
    <w:rsid w:val="00625E34"/>
    <w:rsid w:val="00626092"/>
    <w:rsid w:val="00626EA7"/>
    <w:rsid w:val="00630240"/>
    <w:rsid w:val="0063032F"/>
    <w:rsid w:val="00631580"/>
    <w:rsid w:val="006315BA"/>
    <w:rsid w:val="00631FE9"/>
    <w:rsid w:val="006322E2"/>
    <w:rsid w:val="0063268E"/>
    <w:rsid w:val="006329C9"/>
    <w:rsid w:val="00632C4E"/>
    <w:rsid w:val="00633697"/>
    <w:rsid w:val="00633D14"/>
    <w:rsid w:val="00634151"/>
    <w:rsid w:val="006341B2"/>
    <w:rsid w:val="006344FA"/>
    <w:rsid w:val="00634A29"/>
    <w:rsid w:val="00635324"/>
    <w:rsid w:val="00635BAC"/>
    <w:rsid w:val="00635CC7"/>
    <w:rsid w:val="00635F57"/>
    <w:rsid w:val="0063627C"/>
    <w:rsid w:val="00636CAF"/>
    <w:rsid w:val="00636E13"/>
    <w:rsid w:val="006373B3"/>
    <w:rsid w:val="00640A55"/>
    <w:rsid w:val="00640B5C"/>
    <w:rsid w:val="00641A4A"/>
    <w:rsid w:val="00641B9D"/>
    <w:rsid w:val="0064249A"/>
    <w:rsid w:val="00642A20"/>
    <w:rsid w:val="00642B31"/>
    <w:rsid w:val="00643CA7"/>
    <w:rsid w:val="00644836"/>
    <w:rsid w:val="00644AE0"/>
    <w:rsid w:val="0064523C"/>
    <w:rsid w:val="006464C4"/>
    <w:rsid w:val="00646C63"/>
    <w:rsid w:val="00646EEA"/>
    <w:rsid w:val="00647760"/>
    <w:rsid w:val="006500B6"/>
    <w:rsid w:val="006501CE"/>
    <w:rsid w:val="006501E9"/>
    <w:rsid w:val="00650213"/>
    <w:rsid w:val="00650D70"/>
    <w:rsid w:val="00651D67"/>
    <w:rsid w:val="00652A9E"/>
    <w:rsid w:val="00652D9B"/>
    <w:rsid w:val="00652F14"/>
    <w:rsid w:val="00653C29"/>
    <w:rsid w:val="00653CE7"/>
    <w:rsid w:val="0065414B"/>
    <w:rsid w:val="0065449E"/>
    <w:rsid w:val="00654581"/>
    <w:rsid w:val="00654BF3"/>
    <w:rsid w:val="00655FE7"/>
    <w:rsid w:val="00656397"/>
    <w:rsid w:val="0065649F"/>
    <w:rsid w:val="00656C21"/>
    <w:rsid w:val="00656DD2"/>
    <w:rsid w:val="00656EDA"/>
    <w:rsid w:val="00657969"/>
    <w:rsid w:val="00660618"/>
    <w:rsid w:val="00660722"/>
    <w:rsid w:val="0066082F"/>
    <w:rsid w:val="00660DE4"/>
    <w:rsid w:val="00660EF9"/>
    <w:rsid w:val="00661A77"/>
    <w:rsid w:val="00661DF7"/>
    <w:rsid w:val="0066274A"/>
    <w:rsid w:val="006630D4"/>
    <w:rsid w:val="006633C3"/>
    <w:rsid w:val="006633D6"/>
    <w:rsid w:val="00665647"/>
    <w:rsid w:val="00665988"/>
    <w:rsid w:val="00665A68"/>
    <w:rsid w:val="00665AA0"/>
    <w:rsid w:val="00665B74"/>
    <w:rsid w:val="00665EAE"/>
    <w:rsid w:val="00667429"/>
    <w:rsid w:val="006678DF"/>
    <w:rsid w:val="00667BA9"/>
    <w:rsid w:val="00667F80"/>
    <w:rsid w:val="00670ED6"/>
    <w:rsid w:val="00671104"/>
    <w:rsid w:val="00671CAA"/>
    <w:rsid w:val="00672A56"/>
    <w:rsid w:val="0067303E"/>
    <w:rsid w:val="0067337E"/>
    <w:rsid w:val="00673700"/>
    <w:rsid w:val="00674767"/>
    <w:rsid w:val="00674D40"/>
    <w:rsid w:val="006752BD"/>
    <w:rsid w:val="00675C03"/>
    <w:rsid w:val="00676544"/>
    <w:rsid w:val="0067722B"/>
    <w:rsid w:val="00677327"/>
    <w:rsid w:val="006776DE"/>
    <w:rsid w:val="00677787"/>
    <w:rsid w:val="006813AA"/>
    <w:rsid w:val="00682278"/>
    <w:rsid w:val="00682485"/>
    <w:rsid w:val="00682706"/>
    <w:rsid w:val="00684793"/>
    <w:rsid w:val="00685986"/>
    <w:rsid w:val="00687B7B"/>
    <w:rsid w:val="00687CC9"/>
    <w:rsid w:val="0069011D"/>
    <w:rsid w:val="00690A2F"/>
    <w:rsid w:val="00690B67"/>
    <w:rsid w:val="00690DB8"/>
    <w:rsid w:val="00691078"/>
    <w:rsid w:val="006911BA"/>
    <w:rsid w:val="00691E29"/>
    <w:rsid w:val="0069203D"/>
    <w:rsid w:val="00693433"/>
    <w:rsid w:val="00693690"/>
    <w:rsid w:val="00693868"/>
    <w:rsid w:val="00693CDD"/>
    <w:rsid w:val="00693CE4"/>
    <w:rsid w:val="00693D11"/>
    <w:rsid w:val="006944BD"/>
    <w:rsid w:val="006947FC"/>
    <w:rsid w:val="006948DE"/>
    <w:rsid w:val="00695716"/>
    <w:rsid w:val="00695C97"/>
    <w:rsid w:val="00695D5C"/>
    <w:rsid w:val="00697B15"/>
    <w:rsid w:val="006A13FA"/>
    <w:rsid w:val="006A143E"/>
    <w:rsid w:val="006A24E4"/>
    <w:rsid w:val="006A4003"/>
    <w:rsid w:val="006A6FF5"/>
    <w:rsid w:val="006A71B4"/>
    <w:rsid w:val="006A7262"/>
    <w:rsid w:val="006A7467"/>
    <w:rsid w:val="006A78CE"/>
    <w:rsid w:val="006B063D"/>
    <w:rsid w:val="006B0CA3"/>
    <w:rsid w:val="006B2AAA"/>
    <w:rsid w:val="006B2EF5"/>
    <w:rsid w:val="006B3427"/>
    <w:rsid w:val="006B3459"/>
    <w:rsid w:val="006B3713"/>
    <w:rsid w:val="006B3BBD"/>
    <w:rsid w:val="006B4B77"/>
    <w:rsid w:val="006B50B1"/>
    <w:rsid w:val="006B527E"/>
    <w:rsid w:val="006B62AE"/>
    <w:rsid w:val="006B652B"/>
    <w:rsid w:val="006B6F70"/>
    <w:rsid w:val="006B76DA"/>
    <w:rsid w:val="006C130E"/>
    <w:rsid w:val="006C19E2"/>
    <w:rsid w:val="006C2607"/>
    <w:rsid w:val="006C2CB9"/>
    <w:rsid w:val="006C3449"/>
    <w:rsid w:val="006C44BE"/>
    <w:rsid w:val="006C4979"/>
    <w:rsid w:val="006C5874"/>
    <w:rsid w:val="006C5AF4"/>
    <w:rsid w:val="006C5DA5"/>
    <w:rsid w:val="006C617B"/>
    <w:rsid w:val="006C7956"/>
    <w:rsid w:val="006C7D1A"/>
    <w:rsid w:val="006D0189"/>
    <w:rsid w:val="006D09F4"/>
    <w:rsid w:val="006D27CF"/>
    <w:rsid w:val="006D3FC4"/>
    <w:rsid w:val="006D5087"/>
    <w:rsid w:val="006D6397"/>
    <w:rsid w:val="006D6E43"/>
    <w:rsid w:val="006D7523"/>
    <w:rsid w:val="006E0905"/>
    <w:rsid w:val="006E0C25"/>
    <w:rsid w:val="006E1016"/>
    <w:rsid w:val="006E163D"/>
    <w:rsid w:val="006E1A19"/>
    <w:rsid w:val="006E22FE"/>
    <w:rsid w:val="006E2347"/>
    <w:rsid w:val="006E2D2C"/>
    <w:rsid w:val="006E334C"/>
    <w:rsid w:val="006E3715"/>
    <w:rsid w:val="006E3AF1"/>
    <w:rsid w:val="006E470C"/>
    <w:rsid w:val="006E4DAB"/>
    <w:rsid w:val="006E4FF8"/>
    <w:rsid w:val="006E55DD"/>
    <w:rsid w:val="006E69FE"/>
    <w:rsid w:val="006E7E94"/>
    <w:rsid w:val="006F1A76"/>
    <w:rsid w:val="006F1F26"/>
    <w:rsid w:val="006F20B6"/>
    <w:rsid w:val="006F2B5B"/>
    <w:rsid w:val="006F34E0"/>
    <w:rsid w:val="006F5220"/>
    <w:rsid w:val="006F5323"/>
    <w:rsid w:val="006F6289"/>
    <w:rsid w:val="006F6A20"/>
    <w:rsid w:val="006F6DDD"/>
    <w:rsid w:val="00700D3F"/>
    <w:rsid w:val="00701025"/>
    <w:rsid w:val="0070103D"/>
    <w:rsid w:val="00701750"/>
    <w:rsid w:val="007019F8"/>
    <w:rsid w:val="00701BB9"/>
    <w:rsid w:val="00702720"/>
    <w:rsid w:val="00702AEF"/>
    <w:rsid w:val="00703959"/>
    <w:rsid w:val="007064DD"/>
    <w:rsid w:val="00706580"/>
    <w:rsid w:val="0070773C"/>
    <w:rsid w:val="0070777F"/>
    <w:rsid w:val="007100C5"/>
    <w:rsid w:val="00710D39"/>
    <w:rsid w:val="00710F6D"/>
    <w:rsid w:val="007111ED"/>
    <w:rsid w:val="007118E7"/>
    <w:rsid w:val="007123EA"/>
    <w:rsid w:val="00712A0A"/>
    <w:rsid w:val="00713AB1"/>
    <w:rsid w:val="00713CB3"/>
    <w:rsid w:val="00713EC5"/>
    <w:rsid w:val="00714C2E"/>
    <w:rsid w:val="00714DC5"/>
    <w:rsid w:val="00715FC6"/>
    <w:rsid w:val="00716230"/>
    <w:rsid w:val="00717341"/>
    <w:rsid w:val="0072051E"/>
    <w:rsid w:val="0072059D"/>
    <w:rsid w:val="00721252"/>
    <w:rsid w:val="007219C7"/>
    <w:rsid w:val="00721B92"/>
    <w:rsid w:val="00722735"/>
    <w:rsid w:val="00722A0B"/>
    <w:rsid w:val="00723251"/>
    <w:rsid w:val="007238BD"/>
    <w:rsid w:val="0072395F"/>
    <w:rsid w:val="00723C05"/>
    <w:rsid w:val="00723F06"/>
    <w:rsid w:val="00724184"/>
    <w:rsid w:val="0072450D"/>
    <w:rsid w:val="007253B3"/>
    <w:rsid w:val="00725BD0"/>
    <w:rsid w:val="00726152"/>
    <w:rsid w:val="00726510"/>
    <w:rsid w:val="00726829"/>
    <w:rsid w:val="007274E4"/>
    <w:rsid w:val="00730235"/>
    <w:rsid w:val="007308D7"/>
    <w:rsid w:val="00730F6F"/>
    <w:rsid w:val="00731FE1"/>
    <w:rsid w:val="00732186"/>
    <w:rsid w:val="00732846"/>
    <w:rsid w:val="00732E88"/>
    <w:rsid w:val="00732F5F"/>
    <w:rsid w:val="00733BE9"/>
    <w:rsid w:val="0073416D"/>
    <w:rsid w:val="007341BD"/>
    <w:rsid w:val="0073467A"/>
    <w:rsid w:val="00734C33"/>
    <w:rsid w:val="007351CD"/>
    <w:rsid w:val="00736745"/>
    <w:rsid w:val="00736D7E"/>
    <w:rsid w:val="00737571"/>
    <w:rsid w:val="00737A4B"/>
    <w:rsid w:val="00737D6E"/>
    <w:rsid w:val="007400CB"/>
    <w:rsid w:val="00740576"/>
    <w:rsid w:val="0074068F"/>
    <w:rsid w:val="00740AAB"/>
    <w:rsid w:val="00740BFF"/>
    <w:rsid w:val="007412E7"/>
    <w:rsid w:val="007417F7"/>
    <w:rsid w:val="007419AA"/>
    <w:rsid w:val="00743051"/>
    <w:rsid w:val="00743CB8"/>
    <w:rsid w:val="00744D62"/>
    <w:rsid w:val="00744F58"/>
    <w:rsid w:val="007457FC"/>
    <w:rsid w:val="00747213"/>
    <w:rsid w:val="00750277"/>
    <w:rsid w:val="0075058D"/>
    <w:rsid w:val="00750E8C"/>
    <w:rsid w:val="00750F1D"/>
    <w:rsid w:val="007511C6"/>
    <w:rsid w:val="00751673"/>
    <w:rsid w:val="0075468A"/>
    <w:rsid w:val="007556FC"/>
    <w:rsid w:val="00755B77"/>
    <w:rsid w:val="00756019"/>
    <w:rsid w:val="0075642E"/>
    <w:rsid w:val="0075664F"/>
    <w:rsid w:val="0075676B"/>
    <w:rsid w:val="00756CC5"/>
    <w:rsid w:val="0075739F"/>
    <w:rsid w:val="007576E3"/>
    <w:rsid w:val="00761881"/>
    <w:rsid w:val="00761EAD"/>
    <w:rsid w:val="00762A0F"/>
    <w:rsid w:val="00763745"/>
    <w:rsid w:val="00764513"/>
    <w:rsid w:val="0076468A"/>
    <w:rsid w:val="0076599C"/>
    <w:rsid w:val="007659D5"/>
    <w:rsid w:val="00765E73"/>
    <w:rsid w:val="00766553"/>
    <w:rsid w:val="00766CAB"/>
    <w:rsid w:val="00766DC4"/>
    <w:rsid w:val="00770028"/>
    <w:rsid w:val="007712EE"/>
    <w:rsid w:val="00773E4D"/>
    <w:rsid w:val="007741BE"/>
    <w:rsid w:val="007741ED"/>
    <w:rsid w:val="00774B76"/>
    <w:rsid w:val="00774D93"/>
    <w:rsid w:val="0077565E"/>
    <w:rsid w:val="00776319"/>
    <w:rsid w:val="00776D6E"/>
    <w:rsid w:val="00777A98"/>
    <w:rsid w:val="007814E4"/>
    <w:rsid w:val="0078186D"/>
    <w:rsid w:val="00781E9E"/>
    <w:rsid w:val="0078321C"/>
    <w:rsid w:val="007837A3"/>
    <w:rsid w:val="00784652"/>
    <w:rsid w:val="00784F93"/>
    <w:rsid w:val="007857E3"/>
    <w:rsid w:val="00785CC4"/>
    <w:rsid w:val="007867AC"/>
    <w:rsid w:val="00786BAB"/>
    <w:rsid w:val="00786C88"/>
    <w:rsid w:val="00787677"/>
    <w:rsid w:val="00790676"/>
    <w:rsid w:val="007908AC"/>
    <w:rsid w:val="007911EB"/>
    <w:rsid w:val="00791920"/>
    <w:rsid w:val="00792EF6"/>
    <w:rsid w:val="0079320F"/>
    <w:rsid w:val="007935C0"/>
    <w:rsid w:val="00793840"/>
    <w:rsid w:val="00793D25"/>
    <w:rsid w:val="00793D8A"/>
    <w:rsid w:val="007940B5"/>
    <w:rsid w:val="00794CB8"/>
    <w:rsid w:val="0079568E"/>
    <w:rsid w:val="00795ACD"/>
    <w:rsid w:val="00795D58"/>
    <w:rsid w:val="00796221"/>
    <w:rsid w:val="00797C0B"/>
    <w:rsid w:val="00797F8E"/>
    <w:rsid w:val="007A0DCF"/>
    <w:rsid w:val="007A1431"/>
    <w:rsid w:val="007A17D7"/>
    <w:rsid w:val="007A213D"/>
    <w:rsid w:val="007A265A"/>
    <w:rsid w:val="007A27C5"/>
    <w:rsid w:val="007A2E76"/>
    <w:rsid w:val="007A3BB3"/>
    <w:rsid w:val="007A54C6"/>
    <w:rsid w:val="007A5AB8"/>
    <w:rsid w:val="007A5D52"/>
    <w:rsid w:val="007B14F9"/>
    <w:rsid w:val="007B1DF5"/>
    <w:rsid w:val="007B25A1"/>
    <w:rsid w:val="007B2723"/>
    <w:rsid w:val="007B2F84"/>
    <w:rsid w:val="007B304B"/>
    <w:rsid w:val="007B331A"/>
    <w:rsid w:val="007B3F65"/>
    <w:rsid w:val="007B4410"/>
    <w:rsid w:val="007B4676"/>
    <w:rsid w:val="007B4F6E"/>
    <w:rsid w:val="007B5389"/>
    <w:rsid w:val="007B5A89"/>
    <w:rsid w:val="007B7983"/>
    <w:rsid w:val="007C00E1"/>
    <w:rsid w:val="007C065B"/>
    <w:rsid w:val="007C16C4"/>
    <w:rsid w:val="007C1FC9"/>
    <w:rsid w:val="007C454F"/>
    <w:rsid w:val="007C4E9A"/>
    <w:rsid w:val="007C504F"/>
    <w:rsid w:val="007C59BD"/>
    <w:rsid w:val="007C654D"/>
    <w:rsid w:val="007C684A"/>
    <w:rsid w:val="007C78EA"/>
    <w:rsid w:val="007C7A76"/>
    <w:rsid w:val="007D06F9"/>
    <w:rsid w:val="007D0E5B"/>
    <w:rsid w:val="007D0F41"/>
    <w:rsid w:val="007D1571"/>
    <w:rsid w:val="007D162E"/>
    <w:rsid w:val="007D1634"/>
    <w:rsid w:val="007D1BAC"/>
    <w:rsid w:val="007D1F37"/>
    <w:rsid w:val="007D25AC"/>
    <w:rsid w:val="007D2E5D"/>
    <w:rsid w:val="007D4853"/>
    <w:rsid w:val="007D580B"/>
    <w:rsid w:val="007D609C"/>
    <w:rsid w:val="007D6409"/>
    <w:rsid w:val="007D7400"/>
    <w:rsid w:val="007D7CC8"/>
    <w:rsid w:val="007E0D32"/>
    <w:rsid w:val="007E0F73"/>
    <w:rsid w:val="007E23DE"/>
    <w:rsid w:val="007E2720"/>
    <w:rsid w:val="007E3480"/>
    <w:rsid w:val="007E35B5"/>
    <w:rsid w:val="007E3642"/>
    <w:rsid w:val="007E38CF"/>
    <w:rsid w:val="007E3F3B"/>
    <w:rsid w:val="007E4439"/>
    <w:rsid w:val="007E4DE9"/>
    <w:rsid w:val="007E5D5D"/>
    <w:rsid w:val="007E5EA1"/>
    <w:rsid w:val="007E5EA6"/>
    <w:rsid w:val="007E61F0"/>
    <w:rsid w:val="007E6B1D"/>
    <w:rsid w:val="007E6DD0"/>
    <w:rsid w:val="007E6ECE"/>
    <w:rsid w:val="007E78FB"/>
    <w:rsid w:val="007F005A"/>
    <w:rsid w:val="007F0633"/>
    <w:rsid w:val="007F2315"/>
    <w:rsid w:val="007F2C90"/>
    <w:rsid w:val="007F369F"/>
    <w:rsid w:val="007F3AF3"/>
    <w:rsid w:val="007F3E39"/>
    <w:rsid w:val="007F4632"/>
    <w:rsid w:val="007F50D4"/>
    <w:rsid w:val="007F5D37"/>
    <w:rsid w:val="007F755B"/>
    <w:rsid w:val="0080114C"/>
    <w:rsid w:val="0080223D"/>
    <w:rsid w:val="008022D6"/>
    <w:rsid w:val="00802385"/>
    <w:rsid w:val="00802FFF"/>
    <w:rsid w:val="00803070"/>
    <w:rsid w:val="00803285"/>
    <w:rsid w:val="00803B60"/>
    <w:rsid w:val="00804C78"/>
    <w:rsid w:val="00804DF8"/>
    <w:rsid w:val="008058FE"/>
    <w:rsid w:val="00806005"/>
    <w:rsid w:val="00806262"/>
    <w:rsid w:val="00806EE1"/>
    <w:rsid w:val="008079A2"/>
    <w:rsid w:val="00807AAB"/>
    <w:rsid w:val="00807F0E"/>
    <w:rsid w:val="00810F31"/>
    <w:rsid w:val="00811024"/>
    <w:rsid w:val="00811452"/>
    <w:rsid w:val="00811B07"/>
    <w:rsid w:val="00812403"/>
    <w:rsid w:val="0081242A"/>
    <w:rsid w:val="00812735"/>
    <w:rsid w:val="008128C4"/>
    <w:rsid w:val="00812F3F"/>
    <w:rsid w:val="0081564F"/>
    <w:rsid w:val="008163CA"/>
    <w:rsid w:val="0081687F"/>
    <w:rsid w:val="00816D37"/>
    <w:rsid w:val="00817352"/>
    <w:rsid w:val="00820604"/>
    <w:rsid w:val="00820EA0"/>
    <w:rsid w:val="00821EE1"/>
    <w:rsid w:val="00822486"/>
    <w:rsid w:val="00822551"/>
    <w:rsid w:val="00822709"/>
    <w:rsid w:val="008228E7"/>
    <w:rsid w:val="008228FA"/>
    <w:rsid w:val="00822A63"/>
    <w:rsid w:val="008230B7"/>
    <w:rsid w:val="00823329"/>
    <w:rsid w:val="0082395C"/>
    <w:rsid w:val="00823A3F"/>
    <w:rsid w:val="00824826"/>
    <w:rsid w:val="00824BCC"/>
    <w:rsid w:val="00824E7C"/>
    <w:rsid w:val="008269B1"/>
    <w:rsid w:val="00826B87"/>
    <w:rsid w:val="008271BF"/>
    <w:rsid w:val="008272BB"/>
    <w:rsid w:val="008300EE"/>
    <w:rsid w:val="00831487"/>
    <w:rsid w:val="00831757"/>
    <w:rsid w:val="00831BB1"/>
    <w:rsid w:val="0083219C"/>
    <w:rsid w:val="008321BA"/>
    <w:rsid w:val="008328E6"/>
    <w:rsid w:val="00832985"/>
    <w:rsid w:val="00832AD3"/>
    <w:rsid w:val="008337D7"/>
    <w:rsid w:val="008379BD"/>
    <w:rsid w:val="008379FA"/>
    <w:rsid w:val="00840CD8"/>
    <w:rsid w:val="00841102"/>
    <w:rsid w:val="00842ADE"/>
    <w:rsid w:val="008432DB"/>
    <w:rsid w:val="00845358"/>
    <w:rsid w:val="0084559D"/>
    <w:rsid w:val="00845A1C"/>
    <w:rsid w:val="00845C45"/>
    <w:rsid w:val="0084616A"/>
    <w:rsid w:val="00846D97"/>
    <w:rsid w:val="00847B7A"/>
    <w:rsid w:val="00850B59"/>
    <w:rsid w:val="00850D03"/>
    <w:rsid w:val="008518E9"/>
    <w:rsid w:val="00851A83"/>
    <w:rsid w:val="0085274A"/>
    <w:rsid w:val="00853202"/>
    <w:rsid w:val="008535CD"/>
    <w:rsid w:val="00854183"/>
    <w:rsid w:val="00855178"/>
    <w:rsid w:val="008559FF"/>
    <w:rsid w:val="00856ED1"/>
    <w:rsid w:val="00857797"/>
    <w:rsid w:val="00861173"/>
    <w:rsid w:val="0086143E"/>
    <w:rsid w:val="00861571"/>
    <w:rsid w:val="00861B5F"/>
    <w:rsid w:val="008630DA"/>
    <w:rsid w:val="00864102"/>
    <w:rsid w:val="008643EF"/>
    <w:rsid w:val="00864417"/>
    <w:rsid w:val="008656E3"/>
    <w:rsid w:val="0086701C"/>
    <w:rsid w:val="00867909"/>
    <w:rsid w:val="0086797F"/>
    <w:rsid w:val="00867A10"/>
    <w:rsid w:val="00867E51"/>
    <w:rsid w:val="00870E88"/>
    <w:rsid w:val="00872B9F"/>
    <w:rsid w:val="00873DC2"/>
    <w:rsid w:val="0087404D"/>
    <w:rsid w:val="00874623"/>
    <w:rsid w:val="00875509"/>
    <w:rsid w:val="008755B9"/>
    <w:rsid w:val="0087627E"/>
    <w:rsid w:val="008762DE"/>
    <w:rsid w:val="008763AC"/>
    <w:rsid w:val="0087640D"/>
    <w:rsid w:val="00877975"/>
    <w:rsid w:val="00877987"/>
    <w:rsid w:val="008803D8"/>
    <w:rsid w:val="008805AE"/>
    <w:rsid w:val="00880E6A"/>
    <w:rsid w:val="00880FB0"/>
    <w:rsid w:val="0088118E"/>
    <w:rsid w:val="008817AB"/>
    <w:rsid w:val="0088254E"/>
    <w:rsid w:val="008828EC"/>
    <w:rsid w:val="00883468"/>
    <w:rsid w:val="00883D83"/>
    <w:rsid w:val="0088473A"/>
    <w:rsid w:val="008848C5"/>
    <w:rsid w:val="00884C64"/>
    <w:rsid w:val="00885ED3"/>
    <w:rsid w:val="0088614B"/>
    <w:rsid w:val="00886423"/>
    <w:rsid w:val="00886B72"/>
    <w:rsid w:val="00886C0C"/>
    <w:rsid w:val="0089063F"/>
    <w:rsid w:val="00890ABE"/>
    <w:rsid w:val="00890D6A"/>
    <w:rsid w:val="00891386"/>
    <w:rsid w:val="008919D4"/>
    <w:rsid w:val="0089209D"/>
    <w:rsid w:val="0089263E"/>
    <w:rsid w:val="00893088"/>
    <w:rsid w:val="00893240"/>
    <w:rsid w:val="00893439"/>
    <w:rsid w:val="00893447"/>
    <w:rsid w:val="00894545"/>
    <w:rsid w:val="0089469B"/>
    <w:rsid w:val="00895250"/>
    <w:rsid w:val="008954F3"/>
    <w:rsid w:val="00896698"/>
    <w:rsid w:val="0089701F"/>
    <w:rsid w:val="008978DC"/>
    <w:rsid w:val="008A0DAB"/>
    <w:rsid w:val="008A1281"/>
    <w:rsid w:val="008A1D5D"/>
    <w:rsid w:val="008A23AF"/>
    <w:rsid w:val="008A2757"/>
    <w:rsid w:val="008A2ECB"/>
    <w:rsid w:val="008A3914"/>
    <w:rsid w:val="008A47B2"/>
    <w:rsid w:val="008A4E75"/>
    <w:rsid w:val="008A6579"/>
    <w:rsid w:val="008A6AC5"/>
    <w:rsid w:val="008A6F1F"/>
    <w:rsid w:val="008A795C"/>
    <w:rsid w:val="008A7964"/>
    <w:rsid w:val="008A79A8"/>
    <w:rsid w:val="008B1BE1"/>
    <w:rsid w:val="008B1D32"/>
    <w:rsid w:val="008B2532"/>
    <w:rsid w:val="008B30E4"/>
    <w:rsid w:val="008B3323"/>
    <w:rsid w:val="008B3B53"/>
    <w:rsid w:val="008B45EE"/>
    <w:rsid w:val="008B6287"/>
    <w:rsid w:val="008B6EC4"/>
    <w:rsid w:val="008B7861"/>
    <w:rsid w:val="008C076C"/>
    <w:rsid w:val="008C0982"/>
    <w:rsid w:val="008C0D80"/>
    <w:rsid w:val="008C1037"/>
    <w:rsid w:val="008C11CE"/>
    <w:rsid w:val="008C1336"/>
    <w:rsid w:val="008C26DF"/>
    <w:rsid w:val="008C414E"/>
    <w:rsid w:val="008C4C72"/>
    <w:rsid w:val="008C4FB6"/>
    <w:rsid w:val="008C6607"/>
    <w:rsid w:val="008C7318"/>
    <w:rsid w:val="008C768F"/>
    <w:rsid w:val="008C7729"/>
    <w:rsid w:val="008C7AD9"/>
    <w:rsid w:val="008D02EB"/>
    <w:rsid w:val="008D0537"/>
    <w:rsid w:val="008D0AD7"/>
    <w:rsid w:val="008D0C01"/>
    <w:rsid w:val="008D0CAC"/>
    <w:rsid w:val="008D1279"/>
    <w:rsid w:val="008D1AA4"/>
    <w:rsid w:val="008D211A"/>
    <w:rsid w:val="008D21F3"/>
    <w:rsid w:val="008D3895"/>
    <w:rsid w:val="008D39C3"/>
    <w:rsid w:val="008D3E1B"/>
    <w:rsid w:val="008D44A6"/>
    <w:rsid w:val="008D47F0"/>
    <w:rsid w:val="008D4E28"/>
    <w:rsid w:val="008D64EB"/>
    <w:rsid w:val="008D69C8"/>
    <w:rsid w:val="008D6D6C"/>
    <w:rsid w:val="008D7B28"/>
    <w:rsid w:val="008D7FF6"/>
    <w:rsid w:val="008E0214"/>
    <w:rsid w:val="008E0DCB"/>
    <w:rsid w:val="008E17C4"/>
    <w:rsid w:val="008E180D"/>
    <w:rsid w:val="008E2955"/>
    <w:rsid w:val="008E2965"/>
    <w:rsid w:val="008E2A95"/>
    <w:rsid w:val="008E36FC"/>
    <w:rsid w:val="008E38E1"/>
    <w:rsid w:val="008E3D83"/>
    <w:rsid w:val="008E3DA5"/>
    <w:rsid w:val="008E4A8E"/>
    <w:rsid w:val="008E69CB"/>
    <w:rsid w:val="008F0AC3"/>
    <w:rsid w:val="008F11DE"/>
    <w:rsid w:val="008F1235"/>
    <w:rsid w:val="008F2838"/>
    <w:rsid w:val="008F284A"/>
    <w:rsid w:val="008F2B42"/>
    <w:rsid w:val="008F2EDE"/>
    <w:rsid w:val="008F3B6A"/>
    <w:rsid w:val="008F4F25"/>
    <w:rsid w:val="008F4FA6"/>
    <w:rsid w:val="008F55BC"/>
    <w:rsid w:val="008F561B"/>
    <w:rsid w:val="008F6266"/>
    <w:rsid w:val="008F702F"/>
    <w:rsid w:val="008F744C"/>
    <w:rsid w:val="008F7643"/>
    <w:rsid w:val="00900CED"/>
    <w:rsid w:val="00902B18"/>
    <w:rsid w:val="00902B46"/>
    <w:rsid w:val="00903AD8"/>
    <w:rsid w:val="009045B2"/>
    <w:rsid w:val="009050F6"/>
    <w:rsid w:val="009058E8"/>
    <w:rsid w:val="00905DA3"/>
    <w:rsid w:val="00906A9A"/>
    <w:rsid w:val="00906B3B"/>
    <w:rsid w:val="00907D7A"/>
    <w:rsid w:val="00907FBC"/>
    <w:rsid w:val="009105B5"/>
    <w:rsid w:val="009114E1"/>
    <w:rsid w:val="00911A81"/>
    <w:rsid w:val="00911E45"/>
    <w:rsid w:val="00911E62"/>
    <w:rsid w:val="00912284"/>
    <w:rsid w:val="0091296F"/>
    <w:rsid w:val="00913672"/>
    <w:rsid w:val="009137A9"/>
    <w:rsid w:val="00915B38"/>
    <w:rsid w:val="009164F6"/>
    <w:rsid w:val="00917646"/>
    <w:rsid w:val="00917765"/>
    <w:rsid w:val="009177AB"/>
    <w:rsid w:val="009207B0"/>
    <w:rsid w:val="00921D31"/>
    <w:rsid w:val="00922573"/>
    <w:rsid w:val="00922B93"/>
    <w:rsid w:val="00922DDE"/>
    <w:rsid w:val="00922FA5"/>
    <w:rsid w:val="009242C1"/>
    <w:rsid w:val="0092477A"/>
    <w:rsid w:val="0092482A"/>
    <w:rsid w:val="0092534D"/>
    <w:rsid w:val="00925CA9"/>
    <w:rsid w:val="0092776C"/>
    <w:rsid w:val="00927AEC"/>
    <w:rsid w:val="009303E2"/>
    <w:rsid w:val="00930DC0"/>
    <w:rsid w:val="009321EE"/>
    <w:rsid w:val="009327DA"/>
    <w:rsid w:val="00932809"/>
    <w:rsid w:val="009328B0"/>
    <w:rsid w:val="00932F0E"/>
    <w:rsid w:val="00935A20"/>
    <w:rsid w:val="009364C5"/>
    <w:rsid w:val="00936519"/>
    <w:rsid w:val="00936998"/>
    <w:rsid w:val="00936C02"/>
    <w:rsid w:val="00936EDD"/>
    <w:rsid w:val="0093717B"/>
    <w:rsid w:val="009405BD"/>
    <w:rsid w:val="009408D7"/>
    <w:rsid w:val="00940D94"/>
    <w:rsid w:val="009428EF"/>
    <w:rsid w:val="00942AE3"/>
    <w:rsid w:val="009433C6"/>
    <w:rsid w:val="009436EC"/>
    <w:rsid w:val="009442DE"/>
    <w:rsid w:val="009442FF"/>
    <w:rsid w:val="009443BA"/>
    <w:rsid w:val="0094468C"/>
    <w:rsid w:val="00944B1D"/>
    <w:rsid w:val="00946333"/>
    <w:rsid w:val="00946501"/>
    <w:rsid w:val="009465BF"/>
    <w:rsid w:val="00947305"/>
    <w:rsid w:val="00947A06"/>
    <w:rsid w:val="00947A0F"/>
    <w:rsid w:val="00950C79"/>
    <w:rsid w:val="00950CF9"/>
    <w:rsid w:val="00950F57"/>
    <w:rsid w:val="0095200F"/>
    <w:rsid w:val="00952EB2"/>
    <w:rsid w:val="00953B48"/>
    <w:rsid w:val="00953C62"/>
    <w:rsid w:val="009541E2"/>
    <w:rsid w:val="009555CC"/>
    <w:rsid w:val="00956F81"/>
    <w:rsid w:val="009572C5"/>
    <w:rsid w:val="00957834"/>
    <w:rsid w:val="00960C06"/>
    <w:rsid w:val="0096376B"/>
    <w:rsid w:val="00963C3B"/>
    <w:rsid w:val="00964A6A"/>
    <w:rsid w:val="0096593D"/>
    <w:rsid w:val="00965A46"/>
    <w:rsid w:val="00966394"/>
    <w:rsid w:val="009668F5"/>
    <w:rsid w:val="009673DA"/>
    <w:rsid w:val="00967589"/>
    <w:rsid w:val="00971420"/>
    <w:rsid w:val="009717B4"/>
    <w:rsid w:val="0097263B"/>
    <w:rsid w:val="00973C41"/>
    <w:rsid w:val="009740FD"/>
    <w:rsid w:val="009744B7"/>
    <w:rsid w:val="0097518C"/>
    <w:rsid w:val="009765EA"/>
    <w:rsid w:val="0097674F"/>
    <w:rsid w:val="009816EB"/>
    <w:rsid w:val="00981C32"/>
    <w:rsid w:val="00983177"/>
    <w:rsid w:val="0098322F"/>
    <w:rsid w:val="0098330E"/>
    <w:rsid w:val="00984003"/>
    <w:rsid w:val="00984067"/>
    <w:rsid w:val="00984A52"/>
    <w:rsid w:val="009851CE"/>
    <w:rsid w:val="00985590"/>
    <w:rsid w:val="00985E97"/>
    <w:rsid w:val="00986DE0"/>
    <w:rsid w:val="0098701F"/>
    <w:rsid w:val="009871C0"/>
    <w:rsid w:val="009874CA"/>
    <w:rsid w:val="009900B7"/>
    <w:rsid w:val="00990DDE"/>
    <w:rsid w:val="00991C9A"/>
    <w:rsid w:val="00992B94"/>
    <w:rsid w:val="00993036"/>
    <w:rsid w:val="00994752"/>
    <w:rsid w:val="00994D4D"/>
    <w:rsid w:val="009961E9"/>
    <w:rsid w:val="0099626D"/>
    <w:rsid w:val="0099640E"/>
    <w:rsid w:val="009966A5"/>
    <w:rsid w:val="00997106"/>
    <w:rsid w:val="00997169"/>
    <w:rsid w:val="009A0399"/>
    <w:rsid w:val="009A1511"/>
    <w:rsid w:val="009A184B"/>
    <w:rsid w:val="009A2255"/>
    <w:rsid w:val="009A23BE"/>
    <w:rsid w:val="009A392C"/>
    <w:rsid w:val="009A3971"/>
    <w:rsid w:val="009A4C3D"/>
    <w:rsid w:val="009A4E2D"/>
    <w:rsid w:val="009A5F87"/>
    <w:rsid w:val="009A629B"/>
    <w:rsid w:val="009A6FE4"/>
    <w:rsid w:val="009A753A"/>
    <w:rsid w:val="009B06D9"/>
    <w:rsid w:val="009B0F45"/>
    <w:rsid w:val="009B0FBD"/>
    <w:rsid w:val="009B10F4"/>
    <w:rsid w:val="009B1E8D"/>
    <w:rsid w:val="009B3621"/>
    <w:rsid w:val="009B4D85"/>
    <w:rsid w:val="009B4EE4"/>
    <w:rsid w:val="009B5655"/>
    <w:rsid w:val="009B5EC5"/>
    <w:rsid w:val="009B5FC7"/>
    <w:rsid w:val="009B708B"/>
    <w:rsid w:val="009B75A6"/>
    <w:rsid w:val="009C0008"/>
    <w:rsid w:val="009C1DE8"/>
    <w:rsid w:val="009C3139"/>
    <w:rsid w:val="009C4230"/>
    <w:rsid w:val="009C4FD2"/>
    <w:rsid w:val="009C52B5"/>
    <w:rsid w:val="009C54F7"/>
    <w:rsid w:val="009C55E5"/>
    <w:rsid w:val="009C5ACB"/>
    <w:rsid w:val="009C5BAC"/>
    <w:rsid w:val="009C5D28"/>
    <w:rsid w:val="009C6B0B"/>
    <w:rsid w:val="009C7554"/>
    <w:rsid w:val="009D0F26"/>
    <w:rsid w:val="009D171C"/>
    <w:rsid w:val="009D1F5C"/>
    <w:rsid w:val="009D25A0"/>
    <w:rsid w:val="009D2DB6"/>
    <w:rsid w:val="009D2E64"/>
    <w:rsid w:val="009D35FA"/>
    <w:rsid w:val="009D3B96"/>
    <w:rsid w:val="009D45AC"/>
    <w:rsid w:val="009D4D34"/>
    <w:rsid w:val="009D590D"/>
    <w:rsid w:val="009D5E50"/>
    <w:rsid w:val="009D6F09"/>
    <w:rsid w:val="009D797E"/>
    <w:rsid w:val="009E04D5"/>
    <w:rsid w:val="009E0C7C"/>
    <w:rsid w:val="009E13C3"/>
    <w:rsid w:val="009E1AA4"/>
    <w:rsid w:val="009E2A86"/>
    <w:rsid w:val="009E2FE0"/>
    <w:rsid w:val="009E311E"/>
    <w:rsid w:val="009E3544"/>
    <w:rsid w:val="009E388F"/>
    <w:rsid w:val="009E3C43"/>
    <w:rsid w:val="009E412E"/>
    <w:rsid w:val="009E45FB"/>
    <w:rsid w:val="009E47B6"/>
    <w:rsid w:val="009E4B73"/>
    <w:rsid w:val="009E5EF4"/>
    <w:rsid w:val="009E65C1"/>
    <w:rsid w:val="009E6950"/>
    <w:rsid w:val="009E7DAD"/>
    <w:rsid w:val="009F03A6"/>
    <w:rsid w:val="009F0811"/>
    <w:rsid w:val="009F087D"/>
    <w:rsid w:val="009F14AD"/>
    <w:rsid w:val="009F2240"/>
    <w:rsid w:val="009F29C4"/>
    <w:rsid w:val="009F2C26"/>
    <w:rsid w:val="009F3F3C"/>
    <w:rsid w:val="009F4FA9"/>
    <w:rsid w:val="009F5098"/>
    <w:rsid w:val="009F51F6"/>
    <w:rsid w:val="009F5528"/>
    <w:rsid w:val="009F55FD"/>
    <w:rsid w:val="009F5FC8"/>
    <w:rsid w:val="009F7120"/>
    <w:rsid w:val="009F765E"/>
    <w:rsid w:val="00A0187E"/>
    <w:rsid w:val="00A02B9D"/>
    <w:rsid w:val="00A03095"/>
    <w:rsid w:val="00A039F4"/>
    <w:rsid w:val="00A04257"/>
    <w:rsid w:val="00A04986"/>
    <w:rsid w:val="00A05597"/>
    <w:rsid w:val="00A05972"/>
    <w:rsid w:val="00A05CFD"/>
    <w:rsid w:val="00A05FCE"/>
    <w:rsid w:val="00A07365"/>
    <w:rsid w:val="00A10501"/>
    <w:rsid w:val="00A10E15"/>
    <w:rsid w:val="00A11B90"/>
    <w:rsid w:val="00A126ED"/>
    <w:rsid w:val="00A1299C"/>
    <w:rsid w:val="00A13F88"/>
    <w:rsid w:val="00A14325"/>
    <w:rsid w:val="00A148D5"/>
    <w:rsid w:val="00A15536"/>
    <w:rsid w:val="00A163C3"/>
    <w:rsid w:val="00A1697C"/>
    <w:rsid w:val="00A2043C"/>
    <w:rsid w:val="00A207E9"/>
    <w:rsid w:val="00A2093C"/>
    <w:rsid w:val="00A22411"/>
    <w:rsid w:val="00A23E7C"/>
    <w:rsid w:val="00A24404"/>
    <w:rsid w:val="00A2462F"/>
    <w:rsid w:val="00A2616F"/>
    <w:rsid w:val="00A2620B"/>
    <w:rsid w:val="00A26F03"/>
    <w:rsid w:val="00A26FFB"/>
    <w:rsid w:val="00A27060"/>
    <w:rsid w:val="00A27EAB"/>
    <w:rsid w:val="00A300E0"/>
    <w:rsid w:val="00A304B2"/>
    <w:rsid w:val="00A310EB"/>
    <w:rsid w:val="00A31349"/>
    <w:rsid w:val="00A316EB"/>
    <w:rsid w:val="00A349E9"/>
    <w:rsid w:val="00A34F23"/>
    <w:rsid w:val="00A34F82"/>
    <w:rsid w:val="00A3505B"/>
    <w:rsid w:val="00A353F2"/>
    <w:rsid w:val="00A35412"/>
    <w:rsid w:val="00A3544A"/>
    <w:rsid w:val="00A35980"/>
    <w:rsid w:val="00A35C73"/>
    <w:rsid w:val="00A36026"/>
    <w:rsid w:val="00A3619D"/>
    <w:rsid w:val="00A41B86"/>
    <w:rsid w:val="00A41FD2"/>
    <w:rsid w:val="00A42482"/>
    <w:rsid w:val="00A42D62"/>
    <w:rsid w:val="00A43286"/>
    <w:rsid w:val="00A43795"/>
    <w:rsid w:val="00A439D5"/>
    <w:rsid w:val="00A448B5"/>
    <w:rsid w:val="00A453EE"/>
    <w:rsid w:val="00A45FA2"/>
    <w:rsid w:val="00A468A9"/>
    <w:rsid w:val="00A46A17"/>
    <w:rsid w:val="00A46E43"/>
    <w:rsid w:val="00A470A8"/>
    <w:rsid w:val="00A47517"/>
    <w:rsid w:val="00A47FAA"/>
    <w:rsid w:val="00A504A6"/>
    <w:rsid w:val="00A5153B"/>
    <w:rsid w:val="00A51A2A"/>
    <w:rsid w:val="00A52FCD"/>
    <w:rsid w:val="00A539DF"/>
    <w:rsid w:val="00A5576E"/>
    <w:rsid w:val="00A55B9B"/>
    <w:rsid w:val="00A569E0"/>
    <w:rsid w:val="00A56A56"/>
    <w:rsid w:val="00A57231"/>
    <w:rsid w:val="00A57954"/>
    <w:rsid w:val="00A57B20"/>
    <w:rsid w:val="00A602D4"/>
    <w:rsid w:val="00A6287A"/>
    <w:rsid w:val="00A62A8C"/>
    <w:rsid w:val="00A62FA9"/>
    <w:rsid w:val="00A643D1"/>
    <w:rsid w:val="00A64FBF"/>
    <w:rsid w:val="00A66285"/>
    <w:rsid w:val="00A6638F"/>
    <w:rsid w:val="00A66CC9"/>
    <w:rsid w:val="00A67B3E"/>
    <w:rsid w:val="00A67C69"/>
    <w:rsid w:val="00A67CD7"/>
    <w:rsid w:val="00A70E31"/>
    <w:rsid w:val="00A71CD5"/>
    <w:rsid w:val="00A71E77"/>
    <w:rsid w:val="00A7259F"/>
    <w:rsid w:val="00A72A99"/>
    <w:rsid w:val="00A75506"/>
    <w:rsid w:val="00A7719D"/>
    <w:rsid w:val="00A77821"/>
    <w:rsid w:val="00A779B3"/>
    <w:rsid w:val="00A808C0"/>
    <w:rsid w:val="00A808F4"/>
    <w:rsid w:val="00A81DAD"/>
    <w:rsid w:val="00A8246E"/>
    <w:rsid w:val="00A83186"/>
    <w:rsid w:val="00A83A8D"/>
    <w:rsid w:val="00A83CD9"/>
    <w:rsid w:val="00A869B8"/>
    <w:rsid w:val="00A8719C"/>
    <w:rsid w:val="00A8762A"/>
    <w:rsid w:val="00A87827"/>
    <w:rsid w:val="00A87C27"/>
    <w:rsid w:val="00A90215"/>
    <w:rsid w:val="00A90898"/>
    <w:rsid w:val="00A914C7"/>
    <w:rsid w:val="00A919AE"/>
    <w:rsid w:val="00A92607"/>
    <w:rsid w:val="00A9264F"/>
    <w:rsid w:val="00A92EB2"/>
    <w:rsid w:val="00A944B2"/>
    <w:rsid w:val="00A95BC6"/>
    <w:rsid w:val="00A9623F"/>
    <w:rsid w:val="00A97B93"/>
    <w:rsid w:val="00A97D9A"/>
    <w:rsid w:val="00AA1827"/>
    <w:rsid w:val="00AA19B2"/>
    <w:rsid w:val="00AA19B4"/>
    <w:rsid w:val="00AA1DDF"/>
    <w:rsid w:val="00AA24B9"/>
    <w:rsid w:val="00AA273D"/>
    <w:rsid w:val="00AA2EA0"/>
    <w:rsid w:val="00AA354C"/>
    <w:rsid w:val="00AA4435"/>
    <w:rsid w:val="00AA65DD"/>
    <w:rsid w:val="00AA6921"/>
    <w:rsid w:val="00AA6F64"/>
    <w:rsid w:val="00AA756E"/>
    <w:rsid w:val="00AA75AA"/>
    <w:rsid w:val="00AB09DD"/>
    <w:rsid w:val="00AB0ACD"/>
    <w:rsid w:val="00AB10A7"/>
    <w:rsid w:val="00AB2539"/>
    <w:rsid w:val="00AB2AAA"/>
    <w:rsid w:val="00AB2CD1"/>
    <w:rsid w:val="00AB31E5"/>
    <w:rsid w:val="00AB3214"/>
    <w:rsid w:val="00AB3DC8"/>
    <w:rsid w:val="00AB456D"/>
    <w:rsid w:val="00AB4770"/>
    <w:rsid w:val="00AB4F66"/>
    <w:rsid w:val="00AB763C"/>
    <w:rsid w:val="00AB78DF"/>
    <w:rsid w:val="00AB7B4B"/>
    <w:rsid w:val="00AC1091"/>
    <w:rsid w:val="00AC15FC"/>
    <w:rsid w:val="00AC1FF8"/>
    <w:rsid w:val="00AC2830"/>
    <w:rsid w:val="00AC2932"/>
    <w:rsid w:val="00AC2EF0"/>
    <w:rsid w:val="00AC3007"/>
    <w:rsid w:val="00AC3F9C"/>
    <w:rsid w:val="00AC45DD"/>
    <w:rsid w:val="00AC4A3A"/>
    <w:rsid w:val="00AC4ADD"/>
    <w:rsid w:val="00AC4DFD"/>
    <w:rsid w:val="00AC59B7"/>
    <w:rsid w:val="00AC5A9A"/>
    <w:rsid w:val="00AC6019"/>
    <w:rsid w:val="00AC6035"/>
    <w:rsid w:val="00AC7A2B"/>
    <w:rsid w:val="00AC7BC0"/>
    <w:rsid w:val="00AD0793"/>
    <w:rsid w:val="00AD07C4"/>
    <w:rsid w:val="00AD16F0"/>
    <w:rsid w:val="00AD193E"/>
    <w:rsid w:val="00AD1BE5"/>
    <w:rsid w:val="00AD317B"/>
    <w:rsid w:val="00AD3F43"/>
    <w:rsid w:val="00AD4817"/>
    <w:rsid w:val="00AD61BE"/>
    <w:rsid w:val="00AD6741"/>
    <w:rsid w:val="00AD71D9"/>
    <w:rsid w:val="00AD7D4F"/>
    <w:rsid w:val="00AE00E2"/>
    <w:rsid w:val="00AE026B"/>
    <w:rsid w:val="00AE0E98"/>
    <w:rsid w:val="00AE1A47"/>
    <w:rsid w:val="00AE2181"/>
    <w:rsid w:val="00AE2253"/>
    <w:rsid w:val="00AE2529"/>
    <w:rsid w:val="00AE29C9"/>
    <w:rsid w:val="00AE332C"/>
    <w:rsid w:val="00AE3999"/>
    <w:rsid w:val="00AE422B"/>
    <w:rsid w:val="00AE4BAC"/>
    <w:rsid w:val="00AE554E"/>
    <w:rsid w:val="00AE6208"/>
    <w:rsid w:val="00AE687F"/>
    <w:rsid w:val="00AE6DB3"/>
    <w:rsid w:val="00AE6FE6"/>
    <w:rsid w:val="00AE70D8"/>
    <w:rsid w:val="00AF015B"/>
    <w:rsid w:val="00AF2A8D"/>
    <w:rsid w:val="00AF2C18"/>
    <w:rsid w:val="00AF2CB3"/>
    <w:rsid w:val="00AF2E46"/>
    <w:rsid w:val="00AF4079"/>
    <w:rsid w:val="00AF4B76"/>
    <w:rsid w:val="00AF563E"/>
    <w:rsid w:val="00AF59A5"/>
    <w:rsid w:val="00AF6228"/>
    <w:rsid w:val="00AF6554"/>
    <w:rsid w:val="00AF7549"/>
    <w:rsid w:val="00AF7ABC"/>
    <w:rsid w:val="00AF7C3F"/>
    <w:rsid w:val="00B01A41"/>
    <w:rsid w:val="00B02893"/>
    <w:rsid w:val="00B03360"/>
    <w:rsid w:val="00B03517"/>
    <w:rsid w:val="00B03561"/>
    <w:rsid w:val="00B039B9"/>
    <w:rsid w:val="00B0403E"/>
    <w:rsid w:val="00B04CB7"/>
    <w:rsid w:val="00B04DBA"/>
    <w:rsid w:val="00B0596B"/>
    <w:rsid w:val="00B0691D"/>
    <w:rsid w:val="00B114EC"/>
    <w:rsid w:val="00B11568"/>
    <w:rsid w:val="00B12CB2"/>
    <w:rsid w:val="00B13CEC"/>
    <w:rsid w:val="00B14B5B"/>
    <w:rsid w:val="00B15430"/>
    <w:rsid w:val="00B16672"/>
    <w:rsid w:val="00B167F3"/>
    <w:rsid w:val="00B16844"/>
    <w:rsid w:val="00B168A4"/>
    <w:rsid w:val="00B16B43"/>
    <w:rsid w:val="00B1701B"/>
    <w:rsid w:val="00B17126"/>
    <w:rsid w:val="00B17698"/>
    <w:rsid w:val="00B17741"/>
    <w:rsid w:val="00B17964"/>
    <w:rsid w:val="00B21BBC"/>
    <w:rsid w:val="00B25A98"/>
    <w:rsid w:val="00B25D88"/>
    <w:rsid w:val="00B26856"/>
    <w:rsid w:val="00B27DE3"/>
    <w:rsid w:val="00B30149"/>
    <w:rsid w:val="00B303AE"/>
    <w:rsid w:val="00B31DBD"/>
    <w:rsid w:val="00B31F2A"/>
    <w:rsid w:val="00B32862"/>
    <w:rsid w:val="00B337E0"/>
    <w:rsid w:val="00B33B1D"/>
    <w:rsid w:val="00B34E64"/>
    <w:rsid w:val="00B34EC5"/>
    <w:rsid w:val="00B34F70"/>
    <w:rsid w:val="00B35259"/>
    <w:rsid w:val="00B358F0"/>
    <w:rsid w:val="00B36E0B"/>
    <w:rsid w:val="00B3718C"/>
    <w:rsid w:val="00B40185"/>
    <w:rsid w:val="00B40269"/>
    <w:rsid w:val="00B404E8"/>
    <w:rsid w:val="00B408D1"/>
    <w:rsid w:val="00B40C14"/>
    <w:rsid w:val="00B411A2"/>
    <w:rsid w:val="00B415AC"/>
    <w:rsid w:val="00B42279"/>
    <w:rsid w:val="00B4246F"/>
    <w:rsid w:val="00B424CB"/>
    <w:rsid w:val="00B426C1"/>
    <w:rsid w:val="00B42B32"/>
    <w:rsid w:val="00B42E7C"/>
    <w:rsid w:val="00B43424"/>
    <w:rsid w:val="00B43528"/>
    <w:rsid w:val="00B4354D"/>
    <w:rsid w:val="00B43C08"/>
    <w:rsid w:val="00B450E6"/>
    <w:rsid w:val="00B458D2"/>
    <w:rsid w:val="00B45C85"/>
    <w:rsid w:val="00B45CC4"/>
    <w:rsid w:val="00B45F41"/>
    <w:rsid w:val="00B4678D"/>
    <w:rsid w:val="00B4759C"/>
    <w:rsid w:val="00B475B5"/>
    <w:rsid w:val="00B477A7"/>
    <w:rsid w:val="00B47F11"/>
    <w:rsid w:val="00B47F31"/>
    <w:rsid w:val="00B50C72"/>
    <w:rsid w:val="00B512FD"/>
    <w:rsid w:val="00B5271D"/>
    <w:rsid w:val="00B528ED"/>
    <w:rsid w:val="00B52E18"/>
    <w:rsid w:val="00B531D2"/>
    <w:rsid w:val="00B53D04"/>
    <w:rsid w:val="00B54B26"/>
    <w:rsid w:val="00B54CE2"/>
    <w:rsid w:val="00B54F51"/>
    <w:rsid w:val="00B55E8A"/>
    <w:rsid w:val="00B566C8"/>
    <w:rsid w:val="00B56EEA"/>
    <w:rsid w:val="00B60109"/>
    <w:rsid w:val="00B61B94"/>
    <w:rsid w:val="00B63FA2"/>
    <w:rsid w:val="00B65972"/>
    <w:rsid w:val="00B659FE"/>
    <w:rsid w:val="00B66001"/>
    <w:rsid w:val="00B6602F"/>
    <w:rsid w:val="00B6633D"/>
    <w:rsid w:val="00B668B3"/>
    <w:rsid w:val="00B6732D"/>
    <w:rsid w:val="00B67515"/>
    <w:rsid w:val="00B7085F"/>
    <w:rsid w:val="00B70ABC"/>
    <w:rsid w:val="00B70B1D"/>
    <w:rsid w:val="00B72CC5"/>
    <w:rsid w:val="00B73153"/>
    <w:rsid w:val="00B7378F"/>
    <w:rsid w:val="00B745FC"/>
    <w:rsid w:val="00B75E8F"/>
    <w:rsid w:val="00B76D59"/>
    <w:rsid w:val="00B772FD"/>
    <w:rsid w:val="00B779F8"/>
    <w:rsid w:val="00B77A55"/>
    <w:rsid w:val="00B8062B"/>
    <w:rsid w:val="00B80722"/>
    <w:rsid w:val="00B80E36"/>
    <w:rsid w:val="00B81377"/>
    <w:rsid w:val="00B81430"/>
    <w:rsid w:val="00B82352"/>
    <w:rsid w:val="00B82F54"/>
    <w:rsid w:val="00B83769"/>
    <w:rsid w:val="00B83E2A"/>
    <w:rsid w:val="00B847A6"/>
    <w:rsid w:val="00B84BF1"/>
    <w:rsid w:val="00B85FA8"/>
    <w:rsid w:val="00B86334"/>
    <w:rsid w:val="00B863DF"/>
    <w:rsid w:val="00B87F7B"/>
    <w:rsid w:val="00B915C7"/>
    <w:rsid w:val="00B91E26"/>
    <w:rsid w:val="00B92EEF"/>
    <w:rsid w:val="00B9338E"/>
    <w:rsid w:val="00B9342A"/>
    <w:rsid w:val="00B94460"/>
    <w:rsid w:val="00B94B6D"/>
    <w:rsid w:val="00B94D96"/>
    <w:rsid w:val="00B958DB"/>
    <w:rsid w:val="00B95AD9"/>
    <w:rsid w:val="00B96483"/>
    <w:rsid w:val="00B967D7"/>
    <w:rsid w:val="00B9681E"/>
    <w:rsid w:val="00B9748E"/>
    <w:rsid w:val="00BA0764"/>
    <w:rsid w:val="00BA0B8F"/>
    <w:rsid w:val="00BA0D17"/>
    <w:rsid w:val="00BA190B"/>
    <w:rsid w:val="00BA1B23"/>
    <w:rsid w:val="00BA4332"/>
    <w:rsid w:val="00BA46F9"/>
    <w:rsid w:val="00BA4C77"/>
    <w:rsid w:val="00BA51A4"/>
    <w:rsid w:val="00BA523D"/>
    <w:rsid w:val="00BA53E8"/>
    <w:rsid w:val="00BA71C3"/>
    <w:rsid w:val="00BA76AA"/>
    <w:rsid w:val="00BA78C4"/>
    <w:rsid w:val="00BA7D8B"/>
    <w:rsid w:val="00BB0B2D"/>
    <w:rsid w:val="00BB0BE1"/>
    <w:rsid w:val="00BB1AF9"/>
    <w:rsid w:val="00BB1EED"/>
    <w:rsid w:val="00BB2190"/>
    <w:rsid w:val="00BB26F3"/>
    <w:rsid w:val="00BB2A0C"/>
    <w:rsid w:val="00BB3832"/>
    <w:rsid w:val="00BB3E7F"/>
    <w:rsid w:val="00BB3F4F"/>
    <w:rsid w:val="00BB4F38"/>
    <w:rsid w:val="00BB50DF"/>
    <w:rsid w:val="00BB5D9A"/>
    <w:rsid w:val="00BB6842"/>
    <w:rsid w:val="00BB6BC8"/>
    <w:rsid w:val="00BB7423"/>
    <w:rsid w:val="00BC0689"/>
    <w:rsid w:val="00BC0716"/>
    <w:rsid w:val="00BC0846"/>
    <w:rsid w:val="00BC0D1A"/>
    <w:rsid w:val="00BC150D"/>
    <w:rsid w:val="00BC2AE3"/>
    <w:rsid w:val="00BC2FC2"/>
    <w:rsid w:val="00BC363D"/>
    <w:rsid w:val="00BC4006"/>
    <w:rsid w:val="00BC44B5"/>
    <w:rsid w:val="00BC4FB1"/>
    <w:rsid w:val="00BC5275"/>
    <w:rsid w:val="00BC5FF6"/>
    <w:rsid w:val="00BC726B"/>
    <w:rsid w:val="00BD03EE"/>
    <w:rsid w:val="00BD0837"/>
    <w:rsid w:val="00BD0EC9"/>
    <w:rsid w:val="00BD25FC"/>
    <w:rsid w:val="00BD2EBB"/>
    <w:rsid w:val="00BD2FC4"/>
    <w:rsid w:val="00BD3E01"/>
    <w:rsid w:val="00BD56CB"/>
    <w:rsid w:val="00BD617D"/>
    <w:rsid w:val="00BD6752"/>
    <w:rsid w:val="00BD67CA"/>
    <w:rsid w:val="00BD696D"/>
    <w:rsid w:val="00BD7545"/>
    <w:rsid w:val="00BD7876"/>
    <w:rsid w:val="00BE0144"/>
    <w:rsid w:val="00BE0637"/>
    <w:rsid w:val="00BE0E18"/>
    <w:rsid w:val="00BE1F1F"/>
    <w:rsid w:val="00BE201A"/>
    <w:rsid w:val="00BE256C"/>
    <w:rsid w:val="00BE25BE"/>
    <w:rsid w:val="00BE3775"/>
    <w:rsid w:val="00BE3A67"/>
    <w:rsid w:val="00BE47B0"/>
    <w:rsid w:val="00BE480E"/>
    <w:rsid w:val="00BE5E29"/>
    <w:rsid w:val="00BE6F4A"/>
    <w:rsid w:val="00BF05EE"/>
    <w:rsid w:val="00BF0922"/>
    <w:rsid w:val="00BF14C1"/>
    <w:rsid w:val="00BF16D2"/>
    <w:rsid w:val="00BF18CF"/>
    <w:rsid w:val="00BF27FE"/>
    <w:rsid w:val="00BF2C2D"/>
    <w:rsid w:val="00BF35CD"/>
    <w:rsid w:val="00BF4065"/>
    <w:rsid w:val="00BF50A0"/>
    <w:rsid w:val="00BF5B64"/>
    <w:rsid w:val="00BF6C00"/>
    <w:rsid w:val="00BF7924"/>
    <w:rsid w:val="00C004F8"/>
    <w:rsid w:val="00C00A63"/>
    <w:rsid w:val="00C018A3"/>
    <w:rsid w:val="00C02EAC"/>
    <w:rsid w:val="00C04170"/>
    <w:rsid w:val="00C042A4"/>
    <w:rsid w:val="00C04B1D"/>
    <w:rsid w:val="00C04BC4"/>
    <w:rsid w:val="00C05509"/>
    <w:rsid w:val="00C06083"/>
    <w:rsid w:val="00C0757D"/>
    <w:rsid w:val="00C07B67"/>
    <w:rsid w:val="00C07D86"/>
    <w:rsid w:val="00C07DF5"/>
    <w:rsid w:val="00C1042F"/>
    <w:rsid w:val="00C105B0"/>
    <w:rsid w:val="00C11AE6"/>
    <w:rsid w:val="00C122A4"/>
    <w:rsid w:val="00C129E1"/>
    <w:rsid w:val="00C1388E"/>
    <w:rsid w:val="00C1412F"/>
    <w:rsid w:val="00C1478D"/>
    <w:rsid w:val="00C15983"/>
    <w:rsid w:val="00C20622"/>
    <w:rsid w:val="00C21669"/>
    <w:rsid w:val="00C21F78"/>
    <w:rsid w:val="00C21FA1"/>
    <w:rsid w:val="00C2287A"/>
    <w:rsid w:val="00C22DC4"/>
    <w:rsid w:val="00C2305F"/>
    <w:rsid w:val="00C23F46"/>
    <w:rsid w:val="00C2467E"/>
    <w:rsid w:val="00C255E6"/>
    <w:rsid w:val="00C2617C"/>
    <w:rsid w:val="00C2630D"/>
    <w:rsid w:val="00C26EB0"/>
    <w:rsid w:val="00C2723F"/>
    <w:rsid w:val="00C274F2"/>
    <w:rsid w:val="00C277C2"/>
    <w:rsid w:val="00C309B4"/>
    <w:rsid w:val="00C30B8F"/>
    <w:rsid w:val="00C30E69"/>
    <w:rsid w:val="00C3123C"/>
    <w:rsid w:val="00C31DAD"/>
    <w:rsid w:val="00C321C5"/>
    <w:rsid w:val="00C32249"/>
    <w:rsid w:val="00C324A3"/>
    <w:rsid w:val="00C32579"/>
    <w:rsid w:val="00C3361C"/>
    <w:rsid w:val="00C34014"/>
    <w:rsid w:val="00C34880"/>
    <w:rsid w:val="00C34FA9"/>
    <w:rsid w:val="00C36DDD"/>
    <w:rsid w:val="00C36E92"/>
    <w:rsid w:val="00C371CA"/>
    <w:rsid w:val="00C37369"/>
    <w:rsid w:val="00C37A45"/>
    <w:rsid w:val="00C37BAB"/>
    <w:rsid w:val="00C37DA0"/>
    <w:rsid w:val="00C416A8"/>
    <w:rsid w:val="00C41771"/>
    <w:rsid w:val="00C41A31"/>
    <w:rsid w:val="00C43907"/>
    <w:rsid w:val="00C43E0B"/>
    <w:rsid w:val="00C43EB1"/>
    <w:rsid w:val="00C45430"/>
    <w:rsid w:val="00C462FE"/>
    <w:rsid w:val="00C47683"/>
    <w:rsid w:val="00C47716"/>
    <w:rsid w:val="00C47720"/>
    <w:rsid w:val="00C477D8"/>
    <w:rsid w:val="00C503CB"/>
    <w:rsid w:val="00C51F07"/>
    <w:rsid w:val="00C539F2"/>
    <w:rsid w:val="00C53E70"/>
    <w:rsid w:val="00C54082"/>
    <w:rsid w:val="00C5494B"/>
    <w:rsid w:val="00C54C63"/>
    <w:rsid w:val="00C55496"/>
    <w:rsid w:val="00C559AE"/>
    <w:rsid w:val="00C55EC0"/>
    <w:rsid w:val="00C56418"/>
    <w:rsid w:val="00C56ACC"/>
    <w:rsid w:val="00C576B2"/>
    <w:rsid w:val="00C5772C"/>
    <w:rsid w:val="00C578A1"/>
    <w:rsid w:val="00C57E0F"/>
    <w:rsid w:val="00C611B9"/>
    <w:rsid w:val="00C62620"/>
    <w:rsid w:val="00C628F6"/>
    <w:rsid w:val="00C6315A"/>
    <w:rsid w:val="00C6318F"/>
    <w:rsid w:val="00C63766"/>
    <w:rsid w:val="00C63DE2"/>
    <w:rsid w:val="00C6417A"/>
    <w:rsid w:val="00C64217"/>
    <w:rsid w:val="00C6498C"/>
    <w:rsid w:val="00C64AF0"/>
    <w:rsid w:val="00C64F59"/>
    <w:rsid w:val="00C66BCF"/>
    <w:rsid w:val="00C67503"/>
    <w:rsid w:val="00C679A0"/>
    <w:rsid w:val="00C709F8"/>
    <w:rsid w:val="00C70DB7"/>
    <w:rsid w:val="00C70E00"/>
    <w:rsid w:val="00C72571"/>
    <w:rsid w:val="00C72F63"/>
    <w:rsid w:val="00C7458E"/>
    <w:rsid w:val="00C74B96"/>
    <w:rsid w:val="00C74BB2"/>
    <w:rsid w:val="00C751F2"/>
    <w:rsid w:val="00C75BA9"/>
    <w:rsid w:val="00C75BEA"/>
    <w:rsid w:val="00C760A7"/>
    <w:rsid w:val="00C7642C"/>
    <w:rsid w:val="00C7654A"/>
    <w:rsid w:val="00C76804"/>
    <w:rsid w:val="00C76FBF"/>
    <w:rsid w:val="00C80402"/>
    <w:rsid w:val="00C80BD0"/>
    <w:rsid w:val="00C80CC3"/>
    <w:rsid w:val="00C81382"/>
    <w:rsid w:val="00C81F37"/>
    <w:rsid w:val="00C824CA"/>
    <w:rsid w:val="00C824F3"/>
    <w:rsid w:val="00C82BF1"/>
    <w:rsid w:val="00C834E0"/>
    <w:rsid w:val="00C834F3"/>
    <w:rsid w:val="00C8397C"/>
    <w:rsid w:val="00C83BC9"/>
    <w:rsid w:val="00C83CDE"/>
    <w:rsid w:val="00C84A81"/>
    <w:rsid w:val="00C858A1"/>
    <w:rsid w:val="00C85AE8"/>
    <w:rsid w:val="00C85DBC"/>
    <w:rsid w:val="00C85FF1"/>
    <w:rsid w:val="00C86A5C"/>
    <w:rsid w:val="00C87201"/>
    <w:rsid w:val="00C901A2"/>
    <w:rsid w:val="00C9069F"/>
    <w:rsid w:val="00C918FB"/>
    <w:rsid w:val="00C91ED4"/>
    <w:rsid w:val="00C92976"/>
    <w:rsid w:val="00C92C79"/>
    <w:rsid w:val="00C92F9B"/>
    <w:rsid w:val="00C9306A"/>
    <w:rsid w:val="00C932E1"/>
    <w:rsid w:val="00C9385E"/>
    <w:rsid w:val="00C93B21"/>
    <w:rsid w:val="00C947E7"/>
    <w:rsid w:val="00C94B5F"/>
    <w:rsid w:val="00C94C45"/>
    <w:rsid w:val="00C97405"/>
    <w:rsid w:val="00C97546"/>
    <w:rsid w:val="00CA11F9"/>
    <w:rsid w:val="00CA1A1F"/>
    <w:rsid w:val="00CA20E5"/>
    <w:rsid w:val="00CA2D2E"/>
    <w:rsid w:val="00CA2EBF"/>
    <w:rsid w:val="00CA2FF1"/>
    <w:rsid w:val="00CA39DD"/>
    <w:rsid w:val="00CA40F8"/>
    <w:rsid w:val="00CA544D"/>
    <w:rsid w:val="00CA563D"/>
    <w:rsid w:val="00CA588F"/>
    <w:rsid w:val="00CA5BCE"/>
    <w:rsid w:val="00CA5E25"/>
    <w:rsid w:val="00CA668F"/>
    <w:rsid w:val="00CA68D6"/>
    <w:rsid w:val="00CA75A9"/>
    <w:rsid w:val="00CB076D"/>
    <w:rsid w:val="00CB0DCF"/>
    <w:rsid w:val="00CB0E2F"/>
    <w:rsid w:val="00CB1627"/>
    <w:rsid w:val="00CB1B72"/>
    <w:rsid w:val="00CB1EC1"/>
    <w:rsid w:val="00CB2055"/>
    <w:rsid w:val="00CB270B"/>
    <w:rsid w:val="00CB4AD9"/>
    <w:rsid w:val="00CB5894"/>
    <w:rsid w:val="00CB7297"/>
    <w:rsid w:val="00CB742D"/>
    <w:rsid w:val="00CB768D"/>
    <w:rsid w:val="00CB7BE0"/>
    <w:rsid w:val="00CC01AC"/>
    <w:rsid w:val="00CC05E2"/>
    <w:rsid w:val="00CC11FE"/>
    <w:rsid w:val="00CC1E0D"/>
    <w:rsid w:val="00CC223C"/>
    <w:rsid w:val="00CC27ED"/>
    <w:rsid w:val="00CC286D"/>
    <w:rsid w:val="00CC3263"/>
    <w:rsid w:val="00CC3469"/>
    <w:rsid w:val="00CC3C9A"/>
    <w:rsid w:val="00CC58F3"/>
    <w:rsid w:val="00CC5ECC"/>
    <w:rsid w:val="00CC674F"/>
    <w:rsid w:val="00CC6B8C"/>
    <w:rsid w:val="00CC7A81"/>
    <w:rsid w:val="00CC7D22"/>
    <w:rsid w:val="00CD02D5"/>
    <w:rsid w:val="00CD036A"/>
    <w:rsid w:val="00CD07A6"/>
    <w:rsid w:val="00CD0BBA"/>
    <w:rsid w:val="00CD212C"/>
    <w:rsid w:val="00CD22A3"/>
    <w:rsid w:val="00CD3376"/>
    <w:rsid w:val="00CD50A0"/>
    <w:rsid w:val="00CD56E4"/>
    <w:rsid w:val="00CD68E9"/>
    <w:rsid w:val="00CD6E08"/>
    <w:rsid w:val="00CE06D3"/>
    <w:rsid w:val="00CE090B"/>
    <w:rsid w:val="00CE0BDD"/>
    <w:rsid w:val="00CE1C98"/>
    <w:rsid w:val="00CE4259"/>
    <w:rsid w:val="00CE496A"/>
    <w:rsid w:val="00CE50F8"/>
    <w:rsid w:val="00CE54D4"/>
    <w:rsid w:val="00CE581A"/>
    <w:rsid w:val="00CE5A8B"/>
    <w:rsid w:val="00CE5C1D"/>
    <w:rsid w:val="00CE5C3D"/>
    <w:rsid w:val="00CE657D"/>
    <w:rsid w:val="00CE7C0A"/>
    <w:rsid w:val="00CE7DF8"/>
    <w:rsid w:val="00CE7F67"/>
    <w:rsid w:val="00CE7FE0"/>
    <w:rsid w:val="00CF0BC6"/>
    <w:rsid w:val="00CF0C92"/>
    <w:rsid w:val="00CF0D52"/>
    <w:rsid w:val="00CF1388"/>
    <w:rsid w:val="00CF1568"/>
    <w:rsid w:val="00CF1CBB"/>
    <w:rsid w:val="00CF34C5"/>
    <w:rsid w:val="00CF4523"/>
    <w:rsid w:val="00CF47FE"/>
    <w:rsid w:val="00CF4931"/>
    <w:rsid w:val="00CF4C14"/>
    <w:rsid w:val="00CF4C5F"/>
    <w:rsid w:val="00CF5050"/>
    <w:rsid w:val="00CF668B"/>
    <w:rsid w:val="00CF691E"/>
    <w:rsid w:val="00CF6F2A"/>
    <w:rsid w:val="00CF72C5"/>
    <w:rsid w:val="00CF7659"/>
    <w:rsid w:val="00D00457"/>
    <w:rsid w:val="00D006BC"/>
    <w:rsid w:val="00D00977"/>
    <w:rsid w:val="00D00B84"/>
    <w:rsid w:val="00D039E0"/>
    <w:rsid w:val="00D04314"/>
    <w:rsid w:val="00D06237"/>
    <w:rsid w:val="00D07912"/>
    <w:rsid w:val="00D1050B"/>
    <w:rsid w:val="00D106B3"/>
    <w:rsid w:val="00D11D2E"/>
    <w:rsid w:val="00D1236F"/>
    <w:rsid w:val="00D12E16"/>
    <w:rsid w:val="00D13E1D"/>
    <w:rsid w:val="00D14D46"/>
    <w:rsid w:val="00D15185"/>
    <w:rsid w:val="00D1553E"/>
    <w:rsid w:val="00D1560E"/>
    <w:rsid w:val="00D158D1"/>
    <w:rsid w:val="00D15BF0"/>
    <w:rsid w:val="00D16155"/>
    <w:rsid w:val="00D16C5C"/>
    <w:rsid w:val="00D16DD7"/>
    <w:rsid w:val="00D17D4E"/>
    <w:rsid w:val="00D17DC3"/>
    <w:rsid w:val="00D200B9"/>
    <w:rsid w:val="00D20EF8"/>
    <w:rsid w:val="00D2138A"/>
    <w:rsid w:val="00D21585"/>
    <w:rsid w:val="00D218A2"/>
    <w:rsid w:val="00D219B3"/>
    <w:rsid w:val="00D23756"/>
    <w:rsid w:val="00D23A0A"/>
    <w:rsid w:val="00D23E45"/>
    <w:rsid w:val="00D26380"/>
    <w:rsid w:val="00D27253"/>
    <w:rsid w:val="00D2776A"/>
    <w:rsid w:val="00D27D6F"/>
    <w:rsid w:val="00D27E7B"/>
    <w:rsid w:val="00D27F27"/>
    <w:rsid w:val="00D3057A"/>
    <w:rsid w:val="00D30A3F"/>
    <w:rsid w:val="00D317D2"/>
    <w:rsid w:val="00D31A5C"/>
    <w:rsid w:val="00D31B4D"/>
    <w:rsid w:val="00D31CB1"/>
    <w:rsid w:val="00D337C5"/>
    <w:rsid w:val="00D33FA0"/>
    <w:rsid w:val="00D34463"/>
    <w:rsid w:val="00D362F7"/>
    <w:rsid w:val="00D36938"/>
    <w:rsid w:val="00D375F8"/>
    <w:rsid w:val="00D37E80"/>
    <w:rsid w:val="00D4016B"/>
    <w:rsid w:val="00D412D0"/>
    <w:rsid w:val="00D41743"/>
    <w:rsid w:val="00D41D53"/>
    <w:rsid w:val="00D4255D"/>
    <w:rsid w:val="00D43821"/>
    <w:rsid w:val="00D43F3F"/>
    <w:rsid w:val="00D47C4F"/>
    <w:rsid w:val="00D514F9"/>
    <w:rsid w:val="00D51C34"/>
    <w:rsid w:val="00D52928"/>
    <w:rsid w:val="00D52ADF"/>
    <w:rsid w:val="00D52B04"/>
    <w:rsid w:val="00D53575"/>
    <w:rsid w:val="00D550B9"/>
    <w:rsid w:val="00D55B6C"/>
    <w:rsid w:val="00D55E4E"/>
    <w:rsid w:val="00D56F5A"/>
    <w:rsid w:val="00D57293"/>
    <w:rsid w:val="00D572CC"/>
    <w:rsid w:val="00D605DC"/>
    <w:rsid w:val="00D60E74"/>
    <w:rsid w:val="00D6112C"/>
    <w:rsid w:val="00D62C58"/>
    <w:rsid w:val="00D6300E"/>
    <w:rsid w:val="00D64C9F"/>
    <w:rsid w:val="00D65051"/>
    <w:rsid w:val="00D66252"/>
    <w:rsid w:val="00D662C3"/>
    <w:rsid w:val="00D67722"/>
    <w:rsid w:val="00D700A7"/>
    <w:rsid w:val="00D7017D"/>
    <w:rsid w:val="00D703EF"/>
    <w:rsid w:val="00D71929"/>
    <w:rsid w:val="00D71F84"/>
    <w:rsid w:val="00D72735"/>
    <w:rsid w:val="00D73450"/>
    <w:rsid w:val="00D73AE2"/>
    <w:rsid w:val="00D73DB4"/>
    <w:rsid w:val="00D73FB7"/>
    <w:rsid w:val="00D744F0"/>
    <w:rsid w:val="00D7465A"/>
    <w:rsid w:val="00D7480F"/>
    <w:rsid w:val="00D755DB"/>
    <w:rsid w:val="00D757CA"/>
    <w:rsid w:val="00D761BA"/>
    <w:rsid w:val="00D76356"/>
    <w:rsid w:val="00D77DF7"/>
    <w:rsid w:val="00D77F6C"/>
    <w:rsid w:val="00D804FB"/>
    <w:rsid w:val="00D80874"/>
    <w:rsid w:val="00D80B77"/>
    <w:rsid w:val="00D80E5D"/>
    <w:rsid w:val="00D821C5"/>
    <w:rsid w:val="00D824C7"/>
    <w:rsid w:val="00D83798"/>
    <w:rsid w:val="00D84C51"/>
    <w:rsid w:val="00D865E8"/>
    <w:rsid w:val="00D86EEE"/>
    <w:rsid w:val="00D904BC"/>
    <w:rsid w:val="00D90640"/>
    <w:rsid w:val="00D91196"/>
    <w:rsid w:val="00D931FA"/>
    <w:rsid w:val="00D947E1"/>
    <w:rsid w:val="00D9587F"/>
    <w:rsid w:val="00D958BB"/>
    <w:rsid w:val="00D961EB"/>
    <w:rsid w:val="00D963DB"/>
    <w:rsid w:val="00D965C4"/>
    <w:rsid w:val="00D96C78"/>
    <w:rsid w:val="00DA0A2F"/>
    <w:rsid w:val="00DA0F99"/>
    <w:rsid w:val="00DA1991"/>
    <w:rsid w:val="00DA214B"/>
    <w:rsid w:val="00DA2414"/>
    <w:rsid w:val="00DA2A1C"/>
    <w:rsid w:val="00DA3579"/>
    <w:rsid w:val="00DA401B"/>
    <w:rsid w:val="00DA563B"/>
    <w:rsid w:val="00DA6407"/>
    <w:rsid w:val="00DA6FBC"/>
    <w:rsid w:val="00DA7043"/>
    <w:rsid w:val="00DA7A66"/>
    <w:rsid w:val="00DB03DE"/>
    <w:rsid w:val="00DB046D"/>
    <w:rsid w:val="00DB0EA9"/>
    <w:rsid w:val="00DB2092"/>
    <w:rsid w:val="00DB22ED"/>
    <w:rsid w:val="00DB2AC1"/>
    <w:rsid w:val="00DB2FBB"/>
    <w:rsid w:val="00DB48B7"/>
    <w:rsid w:val="00DB5031"/>
    <w:rsid w:val="00DB541D"/>
    <w:rsid w:val="00DB5A00"/>
    <w:rsid w:val="00DB609B"/>
    <w:rsid w:val="00DB61B1"/>
    <w:rsid w:val="00DB681F"/>
    <w:rsid w:val="00DB7127"/>
    <w:rsid w:val="00DB7370"/>
    <w:rsid w:val="00DB7A42"/>
    <w:rsid w:val="00DC0229"/>
    <w:rsid w:val="00DC03D7"/>
    <w:rsid w:val="00DC0B1D"/>
    <w:rsid w:val="00DC0DE4"/>
    <w:rsid w:val="00DC1F89"/>
    <w:rsid w:val="00DC2709"/>
    <w:rsid w:val="00DC2C4B"/>
    <w:rsid w:val="00DC2D4A"/>
    <w:rsid w:val="00DC311B"/>
    <w:rsid w:val="00DC377B"/>
    <w:rsid w:val="00DC3E5E"/>
    <w:rsid w:val="00DC4370"/>
    <w:rsid w:val="00DC5549"/>
    <w:rsid w:val="00DC777B"/>
    <w:rsid w:val="00DC78F8"/>
    <w:rsid w:val="00DC7D6C"/>
    <w:rsid w:val="00DD0AE4"/>
    <w:rsid w:val="00DD0B58"/>
    <w:rsid w:val="00DD0BD6"/>
    <w:rsid w:val="00DD18F0"/>
    <w:rsid w:val="00DD1928"/>
    <w:rsid w:val="00DD1DED"/>
    <w:rsid w:val="00DD38FB"/>
    <w:rsid w:val="00DD3B1B"/>
    <w:rsid w:val="00DD3B51"/>
    <w:rsid w:val="00DD4451"/>
    <w:rsid w:val="00DD4FD6"/>
    <w:rsid w:val="00DD5DF5"/>
    <w:rsid w:val="00DD665A"/>
    <w:rsid w:val="00DD744F"/>
    <w:rsid w:val="00DE005B"/>
    <w:rsid w:val="00DE09A8"/>
    <w:rsid w:val="00DE0BA0"/>
    <w:rsid w:val="00DE10AE"/>
    <w:rsid w:val="00DE18FE"/>
    <w:rsid w:val="00DE23CA"/>
    <w:rsid w:val="00DE260A"/>
    <w:rsid w:val="00DE29BC"/>
    <w:rsid w:val="00DE2AC1"/>
    <w:rsid w:val="00DE2F7F"/>
    <w:rsid w:val="00DE32C1"/>
    <w:rsid w:val="00DE3AE1"/>
    <w:rsid w:val="00DE4155"/>
    <w:rsid w:val="00DE4A33"/>
    <w:rsid w:val="00DE4EC6"/>
    <w:rsid w:val="00DE5702"/>
    <w:rsid w:val="00DE63A0"/>
    <w:rsid w:val="00DE651A"/>
    <w:rsid w:val="00DE6F42"/>
    <w:rsid w:val="00DE7388"/>
    <w:rsid w:val="00DE79CE"/>
    <w:rsid w:val="00DE7B3C"/>
    <w:rsid w:val="00DF0820"/>
    <w:rsid w:val="00DF0CE4"/>
    <w:rsid w:val="00DF1357"/>
    <w:rsid w:val="00DF2337"/>
    <w:rsid w:val="00DF333D"/>
    <w:rsid w:val="00DF3FCE"/>
    <w:rsid w:val="00DF472E"/>
    <w:rsid w:val="00DF4C28"/>
    <w:rsid w:val="00DF4C9E"/>
    <w:rsid w:val="00DF511C"/>
    <w:rsid w:val="00DF55A5"/>
    <w:rsid w:val="00DF5C79"/>
    <w:rsid w:val="00DF5DE1"/>
    <w:rsid w:val="00DF6E62"/>
    <w:rsid w:val="00DF7FB0"/>
    <w:rsid w:val="00E00714"/>
    <w:rsid w:val="00E01348"/>
    <w:rsid w:val="00E01E17"/>
    <w:rsid w:val="00E0285D"/>
    <w:rsid w:val="00E02F99"/>
    <w:rsid w:val="00E03E2E"/>
    <w:rsid w:val="00E04534"/>
    <w:rsid w:val="00E06364"/>
    <w:rsid w:val="00E06ACF"/>
    <w:rsid w:val="00E077DB"/>
    <w:rsid w:val="00E07CE0"/>
    <w:rsid w:val="00E10913"/>
    <w:rsid w:val="00E10DF0"/>
    <w:rsid w:val="00E128A4"/>
    <w:rsid w:val="00E13477"/>
    <w:rsid w:val="00E13689"/>
    <w:rsid w:val="00E14386"/>
    <w:rsid w:val="00E14E3C"/>
    <w:rsid w:val="00E14F88"/>
    <w:rsid w:val="00E15BAC"/>
    <w:rsid w:val="00E15CBC"/>
    <w:rsid w:val="00E164D2"/>
    <w:rsid w:val="00E176F6"/>
    <w:rsid w:val="00E17D82"/>
    <w:rsid w:val="00E20054"/>
    <w:rsid w:val="00E2033A"/>
    <w:rsid w:val="00E20793"/>
    <w:rsid w:val="00E21184"/>
    <w:rsid w:val="00E217A3"/>
    <w:rsid w:val="00E218E7"/>
    <w:rsid w:val="00E23788"/>
    <w:rsid w:val="00E23E6A"/>
    <w:rsid w:val="00E24124"/>
    <w:rsid w:val="00E2480C"/>
    <w:rsid w:val="00E25359"/>
    <w:rsid w:val="00E2538B"/>
    <w:rsid w:val="00E2571E"/>
    <w:rsid w:val="00E258F2"/>
    <w:rsid w:val="00E2616C"/>
    <w:rsid w:val="00E27660"/>
    <w:rsid w:val="00E27C7B"/>
    <w:rsid w:val="00E30361"/>
    <w:rsid w:val="00E30C57"/>
    <w:rsid w:val="00E317DF"/>
    <w:rsid w:val="00E31B38"/>
    <w:rsid w:val="00E31E56"/>
    <w:rsid w:val="00E326C9"/>
    <w:rsid w:val="00E32D8A"/>
    <w:rsid w:val="00E336C9"/>
    <w:rsid w:val="00E33FD6"/>
    <w:rsid w:val="00E34B84"/>
    <w:rsid w:val="00E35016"/>
    <w:rsid w:val="00E3570B"/>
    <w:rsid w:val="00E35C63"/>
    <w:rsid w:val="00E36DFB"/>
    <w:rsid w:val="00E40053"/>
    <w:rsid w:val="00E405CC"/>
    <w:rsid w:val="00E406A2"/>
    <w:rsid w:val="00E40F92"/>
    <w:rsid w:val="00E417A1"/>
    <w:rsid w:val="00E41887"/>
    <w:rsid w:val="00E434B5"/>
    <w:rsid w:val="00E44795"/>
    <w:rsid w:val="00E4493E"/>
    <w:rsid w:val="00E452EA"/>
    <w:rsid w:val="00E46D8A"/>
    <w:rsid w:val="00E47210"/>
    <w:rsid w:val="00E47CBE"/>
    <w:rsid w:val="00E531D0"/>
    <w:rsid w:val="00E5324D"/>
    <w:rsid w:val="00E53DA4"/>
    <w:rsid w:val="00E54104"/>
    <w:rsid w:val="00E54936"/>
    <w:rsid w:val="00E55795"/>
    <w:rsid w:val="00E55FF9"/>
    <w:rsid w:val="00E5673F"/>
    <w:rsid w:val="00E56953"/>
    <w:rsid w:val="00E56FA7"/>
    <w:rsid w:val="00E5728E"/>
    <w:rsid w:val="00E60E6D"/>
    <w:rsid w:val="00E61659"/>
    <w:rsid w:val="00E61EDB"/>
    <w:rsid w:val="00E61F7E"/>
    <w:rsid w:val="00E62722"/>
    <w:rsid w:val="00E62CFA"/>
    <w:rsid w:val="00E62EDE"/>
    <w:rsid w:val="00E630CF"/>
    <w:rsid w:val="00E63D0A"/>
    <w:rsid w:val="00E6427F"/>
    <w:rsid w:val="00E64C18"/>
    <w:rsid w:val="00E6750C"/>
    <w:rsid w:val="00E67C54"/>
    <w:rsid w:val="00E7121F"/>
    <w:rsid w:val="00E7149C"/>
    <w:rsid w:val="00E71B2A"/>
    <w:rsid w:val="00E71C17"/>
    <w:rsid w:val="00E72A8E"/>
    <w:rsid w:val="00E7326A"/>
    <w:rsid w:val="00E73549"/>
    <w:rsid w:val="00E7422B"/>
    <w:rsid w:val="00E745FA"/>
    <w:rsid w:val="00E74DB6"/>
    <w:rsid w:val="00E74DDD"/>
    <w:rsid w:val="00E755D2"/>
    <w:rsid w:val="00E75A0D"/>
    <w:rsid w:val="00E75E62"/>
    <w:rsid w:val="00E75EE2"/>
    <w:rsid w:val="00E772A4"/>
    <w:rsid w:val="00E82253"/>
    <w:rsid w:val="00E82451"/>
    <w:rsid w:val="00E849C2"/>
    <w:rsid w:val="00E84B02"/>
    <w:rsid w:val="00E86223"/>
    <w:rsid w:val="00E86515"/>
    <w:rsid w:val="00E86D92"/>
    <w:rsid w:val="00E87EDA"/>
    <w:rsid w:val="00E9005E"/>
    <w:rsid w:val="00E904C2"/>
    <w:rsid w:val="00E9057C"/>
    <w:rsid w:val="00E908B0"/>
    <w:rsid w:val="00E908E8"/>
    <w:rsid w:val="00E91DA6"/>
    <w:rsid w:val="00E92197"/>
    <w:rsid w:val="00E923CE"/>
    <w:rsid w:val="00E92587"/>
    <w:rsid w:val="00E929E6"/>
    <w:rsid w:val="00E9308C"/>
    <w:rsid w:val="00E93E15"/>
    <w:rsid w:val="00E9420D"/>
    <w:rsid w:val="00E94452"/>
    <w:rsid w:val="00E94BE5"/>
    <w:rsid w:val="00E96350"/>
    <w:rsid w:val="00EA2828"/>
    <w:rsid w:val="00EA2943"/>
    <w:rsid w:val="00EA2E76"/>
    <w:rsid w:val="00EA4EDC"/>
    <w:rsid w:val="00EA5929"/>
    <w:rsid w:val="00EA6876"/>
    <w:rsid w:val="00EA6E6B"/>
    <w:rsid w:val="00EB0254"/>
    <w:rsid w:val="00EB0D5F"/>
    <w:rsid w:val="00EB18F1"/>
    <w:rsid w:val="00EB1A0F"/>
    <w:rsid w:val="00EB1E1C"/>
    <w:rsid w:val="00EB1F67"/>
    <w:rsid w:val="00EB2FE7"/>
    <w:rsid w:val="00EB336F"/>
    <w:rsid w:val="00EB38D1"/>
    <w:rsid w:val="00EB3CAC"/>
    <w:rsid w:val="00EB3F6A"/>
    <w:rsid w:val="00EB44D9"/>
    <w:rsid w:val="00EB4520"/>
    <w:rsid w:val="00EB4913"/>
    <w:rsid w:val="00EB4A70"/>
    <w:rsid w:val="00EB4B1E"/>
    <w:rsid w:val="00EB4C9D"/>
    <w:rsid w:val="00EB4F56"/>
    <w:rsid w:val="00EB5244"/>
    <w:rsid w:val="00EB559C"/>
    <w:rsid w:val="00EB5F65"/>
    <w:rsid w:val="00EB601C"/>
    <w:rsid w:val="00EB616D"/>
    <w:rsid w:val="00EB624E"/>
    <w:rsid w:val="00EB6618"/>
    <w:rsid w:val="00EB6B5A"/>
    <w:rsid w:val="00EB7CBA"/>
    <w:rsid w:val="00EB7D6E"/>
    <w:rsid w:val="00EB7DF0"/>
    <w:rsid w:val="00EC0856"/>
    <w:rsid w:val="00EC0F18"/>
    <w:rsid w:val="00EC150A"/>
    <w:rsid w:val="00EC2654"/>
    <w:rsid w:val="00EC3169"/>
    <w:rsid w:val="00EC455E"/>
    <w:rsid w:val="00EC4709"/>
    <w:rsid w:val="00EC589C"/>
    <w:rsid w:val="00EC5C46"/>
    <w:rsid w:val="00EC5E92"/>
    <w:rsid w:val="00EC5EA5"/>
    <w:rsid w:val="00EC68DE"/>
    <w:rsid w:val="00EC6C4F"/>
    <w:rsid w:val="00EC753F"/>
    <w:rsid w:val="00EC77FB"/>
    <w:rsid w:val="00EC7DC5"/>
    <w:rsid w:val="00ED0319"/>
    <w:rsid w:val="00ED0E3D"/>
    <w:rsid w:val="00ED18A6"/>
    <w:rsid w:val="00ED18C3"/>
    <w:rsid w:val="00ED2C00"/>
    <w:rsid w:val="00ED2CC2"/>
    <w:rsid w:val="00ED2E4C"/>
    <w:rsid w:val="00ED311B"/>
    <w:rsid w:val="00ED3218"/>
    <w:rsid w:val="00ED3EC4"/>
    <w:rsid w:val="00ED4124"/>
    <w:rsid w:val="00ED470C"/>
    <w:rsid w:val="00ED4874"/>
    <w:rsid w:val="00ED4E6B"/>
    <w:rsid w:val="00ED56AD"/>
    <w:rsid w:val="00ED6598"/>
    <w:rsid w:val="00ED69F7"/>
    <w:rsid w:val="00ED7F6A"/>
    <w:rsid w:val="00EE02B0"/>
    <w:rsid w:val="00EE1A60"/>
    <w:rsid w:val="00EE1B6A"/>
    <w:rsid w:val="00EE1BB7"/>
    <w:rsid w:val="00EE2089"/>
    <w:rsid w:val="00EE245C"/>
    <w:rsid w:val="00EE5C7F"/>
    <w:rsid w:val="00EE69E4"/>
    <w:rsid w:val="00EE740F"/>
    <w:rsid w:val="00EE75A2"/>
    <w:rsid w:val="00EF0219"/>
    <w:rsid w:val="00EF0A69"/>
    <w:rsid w:val="00EF1205"/>
    <w:rsid w:val="00EF1453"/>
    <w:rsid w:val="00EF164C"/>
    <w:rsid w:val="00EF1841"/>
    <w:rsid w:val="00EF20C5"/>
    <w:rsid w:val="00EF2119"/>
    <w:rsid w:val="00EF2A7A"/>
    <w:rsid w:val="00EF30C1"/>
    <w:rsid w:val="00EF3E64"/>
    <w:rsid w:val="00EF4C35"/>
    <w:rsid w:val="00EF4C58"/>
    <w:rsid w:val="00EF531F"/>
    <w:rsid w:val="00EF55B4"/>
    <w:rsid w:val="00EF6366"/>
    <w:rsid w:val="00EF765C"/>
    <w:rsid w:val="00F0167F"/>
    <w:rsid w:val="00F01D70"/>
    <w:rsid w:val="00F0351D"/>
    <w:rsid w:val="00F03AED"/>
    <w:rsid w:val="00F04ABB"/>
    <w:rsid w:val="00F04AFC"/>
    <w:rsid w:val="00F04BE6"/>
    <w:rsid w:val="00F04EE3"/>
    <w:rsid w:val="00F056AF"/>
    <w:rsid w:val="00F0658E"/>
    <w:rsid w:val="00F06931"/>
    <w:rsid w:val="00F06FE9"/>
    <w:rsid w:val="00F07842"/>
    <w:rsid w:val="00F07A3E"/>
    <w:rsid w:val="00F106AA"/>
    <w:rsid w:val="00F10E44"/>
    <w:rsid w:val="00F1124C"/>
    <w:rsid w:val="00F1172D"/>
    <w:rsid w:val="00F11D32"/>
    <w:rsid w:val="00F128F0"/>
    <w:rsid w:val="00F12D07"/>
    <w:rsid w:val="00F12D21"/>
    <w:rsid w:val="00F1374C"/>
    <w:rsid w:val="00F14E09"/>
    <w:rsid w:val="00F14F3D"/>
    <w:rsid w:val="00F15366"/>
    <w:rsid w:val="00F157D1"/>
    <w:rsid w:val="00F15BC7"/>
    <w:rsid w:val="00F15D22"/>
    <w:rsid w:val="00F16CBB"/>
    <w:rsid w:val="00F16F75"/>
    <w:rsid w:val="00F177A7"/>
    <w:rsid w:val="00F1782E"/>
    <w:rsid w:val="00F17934"/>
    <w:rsid w:val="00F17D0A"/>
    <w:rsid w:val="00F20460"/>
    <w:rsid w:val="00F21F4F"/>
    <w:rsid w:val="00F22538"/>
    <w:rsid w:val="00F22719"/>
    <w:rsid w:val="00F2326A"/>
    <w:rsid w:val="00F23914"/>
    <w:rsid w:val="00F2432B"/>
    <w:rsid w:val="00F2598E"/>
    <w:rsid w:val="00F27600"/>
    <w:rsid w:val="00F3080E"/>
    <w:rsid w:val="00F3095C"/>
    <w:rsid w:val="00F318CF"/>
    <w:rsid w:val="00F31FC2"/>
    <w:rsid w:val="00F32602"/>
    <w:rsid w:val="00F32CF3"/>
    <w:rsid w:val="00F33707"/>
    <w:rsid w:val="00F33BB7"/>
    <w:rsid w:val="00F34353"/>
    <w:rsid w:val="00F347AD"/>
    <w:rsid w:val="00F349A9"/>
    <w:rsid w:val="00F34A71"/>
    <w:rsid w:val="00F35971"/>
    <w:rsid w:val="00F37014"/>
    <w:rsid w:val="00F37335"/>
    <w:rsid w:val="00F37468"/>
    <w:rsid w:val="00F3781B"/>
    <w:rsid w:val="00F37E2A"/>
    <w:rsid w:val="00F37F3B"/>
    <w:rsid w:val="00F37F5F"/>
    <w:rsid w:val="00F40651"/>
    <w:rsid w:val="00F41137"/>
    <w:rsid w:val="00F419A8"/>
    <w:rsid w:val="00F42A50"/>
    <w:rsid w:val="00F42C21"/>
    <w:rsid w:val="00F43015"/>
    <w:rsid w:val="00F4375D"/>
    <w:rsid w:val="00F4400C"/>
    <w:rsid w:val="00F45595"/>
    <w:rsid w:val="00F45E80"/>
    <w:rsid w:val="00F46922"/>
    <w:rsid w:val="00F46D2D"/>
    <w:rsid w:val="00F46E82"/>
    <w:rsid w:val="00F47031"/>
    <w:rsid w:val="00F47ABA"/>
    <w:rsid w:val="00F47B2E"/>
    <w:rsid w:val="00F47B3F"/>
    <w:rsid w:val="00F50845"/>
    <w:rsid w:val="00F51128"/>
    <w:rsid w:val="00F51815"/>
    <w:rsid w:val="00F520C8"/>
    <w:rsid w:val="00F52339"/>
    <w:rsid w:val="00F5269F"/>
    <w:rsid w:val="00F529AC"/>
    <w:rsid w:val="00F52C8C"/>
    <w:rsid w:val="00F52F3A"/>
    <w:rsid w:val="00F532E8"/>
    <w:rsid w:val="00F53919"/>
    <w:rsid w:val="00F5406A"/>
    <w:rsid w:val="00F54485"/>
    <w:rsid w:val="00F54B59"/>
    <w:rsid w:val="00F55873"/>
    <w:rsid w:val="00F558ED"/>
    <w:rsid w:val="00F55C09"/>
    <w:rsid w:val="00F5737A"/>
    <w:rsid w:val="00F60043"/>
    <w:rsid w:val="00F609F3"/>
    <w:rsid w:val="00F614F8"/>
    <w:rsid w:val="00F61A5C"/>
    <w:rsid w:val="00F6277F"/>
    <w:rsid w:val="00F62CAC"/>
    <w:rsid w:val="00F62E63"/>
    <w:rsid w:val="00F63BE6"/>
    <w:rsid w:val="00F64A59"/>
    <w:rsid w:val="00F65948"/>
    <w:rsid w:val="00F65E1D"/>
    <w:rsid w:val="00F66485"/>
    <w:rsid w:val="00F66588"/>
    <w:rsid w:val="00F66990"/>
    <w:rsid w:val="00F66BF7"/>
    <w:rsid w:val="00F66FA8"/>
    <w:rsid w:val="00F673D8"/>
    <w:rsid w:val="00F6789B"/>
    <w:rsid w:val="00F70648"/>
    <w:rsid w:val="00F707F4"/>
    <w:rsid w:val="00F70EAD"/>
    <w:rsid w:val="00F716B0"/>
    <w:rsid w:val="00F71CF5"/>
    <w:rsid w:val="00F723B0"/>
    <w:rsid w:val="00F73098"/>
    <w:rsid w:val="00F73A06"/>
    <w:rsid w:val="00F755F8"/>
    <w:rsid w:val="00F766B2"/>
    <w:rsid w:val="00F80C10"/>
    <w:rsid w:val="00F80EDC"/>
    <w:rsid w:val="00F83197"/>
    <w:rsid w:val="00F833F3"/>
    <w:rsid w:val="00F840B1"/>
    <w:rsid w:val="00F84C7D"/>
    <w:rsid w:val="00F857FC"/>
    <w:rsid w:val="00F8586F"/>
    <w:rsid w:val="00F86F02"/>
    <w:rsid w:val="00F87DDB"/>
    <w:rsid w:val="00F9094B"/>
    <w:rsid w:val="00F90F95"/>
    <w:rsid w:val="00F910B4"/>
    <w:rsid w:val="00F91321"/>
    <w:rsid w:val="00F9139C"/>
    <w:rsid w:val="00F91866"/>
    <w:rsid w:val="00F91AEB"/>
    <w:rsid w:val="00F91EEF"/>
    <w:rsid w:val="00F929E0"/>
    <w:rsid w:val="00F92CAE"/>
    <w:rsid w:val="00F9370B"/>
    <w:rsid w:val="00F93B65"/>
    <w:rsid w:val="00F9507D"/>
    <w:rsid w:val="00F95201"/>
    <w:rsid w:val="00F95A42"/>
    <w:rsid w:val="00F96062"/>
    <w:rsid w:val="00F96273"/>
    <w:rsid w:val="00F966C8"/>
    <w:rsid w:val="00F9751A"/>
    <w:rsid w:val="00F975BD"/>
    <w:rsid w:val="00F97D5B"/>
    <w:rsid w:val="00FA1332"/>
    <w:rsid w:val="00FA1346"/>
    <w:rsid w:val="00FA145F"/>
    <w:rsid w:val="00FA195D"/>
    <w:rsid w:val="00FA22EB"/>
    <w:rsid w:val="00FA2B7F"/>
    <w:rsid w:val="00FA2DFA"/>
    <w:rsid w:val="00FA399D"/>
    <w:rsid w:val="00FA540B"/>
    <w:rsid w:val="00FA5954"/>
    <w:rsid w:val="00FA640F"/>
    <w:rsid w:val="00FA6B32"/>
    <w:rsid w:val="00FA7019"/>
    <w:rsid w:val="00FA7112"/>
    <w:rsid w:val="00FA76EF"/>
    <w:rsid w:val="00FB02E0"/>
    <w:rsid w:val="00FB0415"/>
    <w:rsid w:val="00FB068C"/>
    <w:rsid w:val="00FB0D68"/>
    <w:rsid w:val="00FB12D0"/>
    <w:rsid w:val="00FB275A"/>
    <w:rsid w:val="00FB348D"/>
    <w:rsid w:val="00FB4A0F"/>
    <w:rsid w:val="00FB4EB3"/>
    <w:rsid w:val="00FB5AEC"/>
    <w:rsid w:val="00FB6E13"/>
    <w:rsid w:val="00FB72DF"/>
    <w:rsid w:val="00FB73BE"/>
    <w:rsid w:val="00FC02BE"/>
    <w:rsid w:val="00FC0C37"/>
    <w:rsid w:val="00FC18E0"/>
    <w:rsid w:val="00FC1B38"/>
    <w:rsid w:val="00FC1D1C"/>
    <w:rsid w:val="00FC1DA5"/>
    <w:rsid w:val="00FC2981"/>
    <w:rsid w:val="00FC3174"/>
    <w:rsid w:val="00FC3F6E"/>
    <w:rsid w:val="00FC4610"/>
    <w:rsid w:val="00FC480B"/>
    <w:rsid w:val="00FC6D62"/>
    <w:rsid w:val="00FC70AA"/>
    <w:rsid w:val="00FC7886"/>
    <w:rsid w:val="00FC798C"/>
    <w:rsid w:val="00FD091B"/>
    <w:rsid w:val="00FD203E"/>
    <w:rsid w:val="00FD2ECE"/>
    <w:rsid w:val="00FD3480"/>
    <w:rsid w:val="00FD474E"/>
    <w:rsid w:val="00FD4F0C"/>
    <w:rsid w:val="00FD556C"/>
    <w:rsid w:val="00FD5AFD"/>
    <w:rsid w:val="00FD5DA0"/>
    <w:rsid w:val="00FD6E3B"/>
    <w:rsid w:val="00FE12CF"/>
    <w:rsid w:val="00FE1F9D"/>
    <w:rsid w:val="00FE2130"/>
    <w:rsid w:val="00FE2279"/>
    <w:rsid w:val="00FE24A3"/>
    <w:rsid w:val="00FE27BE"/>
    <w:rsid w:val="00FE2A3D"/>
    <w:rsid w:val="00FE2D0F"/>
    <w:rsid w:val="00FE3598"/>
    <w:rsid w:val="00FE38D4"/>
    <w:rsid w:val="00FE4137"/>
    <w:rsid w:val="00FE44A2"/>
    <w:rsid w:val="00FE460D"/>
    <w:rsid w:val="00FE6530"/>
    <w:rsid w:val="00FE6C79"/>
    <w:rsid w:val="00FE7231"/>
    <w:rsid w:val="00FE7381"/>
    <w:rsid w:val="00FE7CB1"/>
    <w:rsid w:val="00FF028A"/>
    <w:rsid w:val="00FF07AF"/>
    <w:rsid w:val="00FF14B9"/>
    <w:rsid w:val="00FF182B"/>
    <w:rsid w:val="00FF20A3"/>
    <w:rsid w:val="00FF25A2"/>
    <w:rsid w:val="00FF28AA"/>
    <w:rsid w:val="00FF2DD9"/>
    <w:rsid w:val="00FF42E3"/>
    <w:rsid w:val="00FF47F4"/>
    <w:rsid w:val="00FF64D2"/>
    <w:rsid w:val="00FF67E8"/>
    <w:rsid w:val="00FF6822"/>
    <w:rsid w:val="00FF7518"/>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3318BE"/>
  <w15:docId w15:val="{9F305055-C599-4B17-BA78-EDD69EC6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0" w:unhideWhenUsed="1" w:qFormat="1"/>
    <w:lsdException w:name="heading 3" w:semiHidden="1" w:uiPriority="0" w:unhideWhenUsed="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931"/>
    <w:pPr>
      <w:spacing w:after="0" w:line="240" w:lineRule="auto"/>
      <w:ind w:left="-108" w:right="-108"/>
      <w:jc w:val="both"/>
    </w:pPr>
    <w:rPr>
      <w:rFonts w:ascii="Arial" w:eastAsia="Times New Roman" w:hAnsi="Arial" w:cs="Arial"/>
      <w:color w:val="000000"/>
      <w:sz w:val="18"/>
      <w:szCs w:val="20"/>
    </w:rPr>
  </w:style>
  <w:style w:type="paragraph" w:styleId="Heading1">
    <w:name w:val="heading 1"/>
    <w:aliases w:val="H2,כותרת 1 תו1,כותרת 1 תו תו,כותרת 1 תו תו תו תו תו תו תו תו תו תו תו תו,כותרת 1 תו תו תו תו תו תו תו תו תו תו תו תו תו Char Char Char Char Char Char Char Char Char Char Char Char Char Char Char Char Char Char,Heading 1 תו,Heading 1 תו1"/>
    <w:basedOn w:val="Normal"/>
    <w:next w:val="Normal"/>
    <w:link w:val="Heading1Char"/>
    <w:autoRedefine/>
    <w:rsid w:val="005A788C"/>
    <w:pPr>
      <w:keepNext/>
      <w:tabs>
        <w:tab w:val="left" w:pos="3505"/>
        <w:tab w:val="left" w:pos="3931"/>
        <w:tab w:val="left" w:pos="4781"/>
        <w:tab w:val="left" w:pos="5632"/>
        <w:tab w:val="left" w:pos="6482"/>
        <w:tab w:val="left" w:pos="7333"/>
        <w:tab w:val="left" w:pos="7758"/>
        <w:tab w:val="left" w:pos="8183"/>
      </w:tabs>
      <w:spacing w:before="40" w:after="120" w:line="40" w:lineRule="atLeast"/>
      <w:outlineLvl w:val="0"/>
    </w:pPr>
    <w:rPr>
      <w:rFonts w:asciiTheme="minorBidi" w:hAnsiTheme="minorBidi" w:cstheme="minorBidi"/>
      <w:b/>
      <w:bCs/>
      <w:noProof/>
      <w:color w:val="FF6600"/>
      <w:sz w:val="24"/>
      <w:szCs w:val="24"/>
      <w:lang w:eastAsia="he-IL"/>
    </w:rPr>
  </w:style>
  <w:style w:type="paragraph" w:styleId="Heading2">
    <w:name w:val="heading 2"/>
    <w:aliases w:val="s"/>
    <w:basedOn w:val="Normal"/>
    <w:next w:val="Normal"/>
    <w:link w:val="Heading2Char"/>
    <w:qFormat/>
    <w:rsid w:val="00C85AE8"/>
    <w:pPr>
      <w:tabs>
        <w:tab w:val="left" w:pos="930"/>
      </w:tabs>
      <w:spacing w:after="60" w:line="340" w:lineRule="exact"/>
      <w:outlineLvl w:val="1"/>
    </w:pPr>
    <w:rPr>
      <w:bCs/>
      <w:color w:val="auto"/>
      <w:sz w:val="22"/>
    </w:rPr>
  </w:style>
  <w:style w:type="paragraph" w:styleId="Heading3">
    <w:name w:val="heading 3"/>
    <w:aliases w:val="תת כותרת,כותרת 3 תו1 תו,כותרת 3 תו תו תו,Heading 3 תו תו תו"/>
    <w:basedOn w:val="Normal"/>
    <w:next w:val="Normal"/>
    <w:link w:val="Heading3Char"/>
    <w:autoRedefine/>
    <w:rsid w:val="00582E53"/>
    <w:pPr>
      <w:keepNext/>
      <w:tabs>
        <w:tab w:val="left" w:pos="5140"/>
        <w:tab w:val="left" w:pos="5960"/>
        <w:tab w:val="left" w:pos="6680"/>
        <w:tab w:val="left" w:pos="7360"/>
        <w:tab w:val="left" w:pos="8320"/>
        <w:tab w:val="left" w:pos="9360"/>
      </w:tabs>
      <w:spacing w:before="40" w:after="120" w:line="40" w:lineRule="atLeast"/>
      <w:ind w:left="153" w:hanging="261"/>
      <w:jc w:val="left"/>
      <w:outlineLvl w:val="2"/>
    </w:pPr>
    <w:rPr>
      <w:rFonts w:asciiTheme="minorBidi" w:hAnsiTheme="minorBidi" w:cstheme="minorBidi"/>
      <w:b/>
      <w:bCs/>
      <w:snapToGrid w:val="0"/>
      <w:sz w:val="20"/>
    </w:rPr>
  </w:style>
  <w:style w:type="paragraph" w:styleId="Heading4">
    <w:name w:val="heading 4"/>
    <w:basedOn w:val="Normal"/>
    <w:next w:val="Normal"/>
    <w:link w:val="Heading4Char"/>
    <w:qFormat/>
    <w:rsid w:val="00952EB2"/>
    <w:pPr>
      <w:keepNext/>
      <w:spacing w:line="360" w:lineRule="auto"/>
      <w:ind w:left="2268"/>
      <w:outlineLvl w:val="3"/>
    </w:pPr>
    <w:rPr>
      <w:bCs/>
      <w:snapToGrid w:val="0"/>
      <w:sz w:val="24"/>
      <w:lang w:eastAsia="he-IL"/>
    </w:rPr>
  </w:style>
  <w:style w:type="paragraph" w:styleId="Heading5">
    <w:name w:val="heading 5"/>
    <w:basedOn w:val="Normal"/>
    <w:next w:val="Normal"/>
    <w:link w:val="Heading5Char"/>
    <w:qFormat/>
    <w:rsid w:val="00952EB2"/>
    <w:pPr>
      <w:keepNext/>
      <w:spacing w:line="300" w:lineRule="exact"/>
      <w:ind w:left="2268"/>
      <w:outlineLvl w:val="4"/>
    </w:pPr>
    <w:rPr>
      <w:b/>
      <w:bCs/>
      <w:snapToGrid w:val="0"/>
      <w:lang w:eastAsia="he-IL"/>
    </w:rPr>
  </w:style>
  <w:style w:type="paragraph" w:styleId="Heading6">
    <w:name w:val="heading 6"/>
    <w:basedOn w:val="Normal"/>
    <w:next w:val="Normal"/>
    <w:link w:val="Heading6Char"/>
    <w:qFormat/>
    <w:rsid w:val="00952EB2"/>
    <w:pPr>
      <w:spacing w:before="240" w:after="60"/>
      <w:outlineLvl w:val="5"/>
    </w:pPr>
    <w:rPr>
      <w:rFonts w:cs="Times New Roman"/>
      <w:b/>
      <w:bCs/>
      <w:szCs w:val="22"/>
    </w:rPr>
  </w:style>
  <w:style w:type="paragraph" w:styleId="Heading7">
    <w:name w:val="heading 7"/>
    <w:basedOn w:val="Normal"/>
    <w:next w:val="Normal"/>
    <w:link w:val="Heading7Char"/>
    <w:uiPriority w:val="99"/>
    <w:qFormat/>
    <w:rsid w:val="00952EB2"/>
    <w:pPr>
      <w:keepNext/>
      <w:spacing w:line="320" w:lineRule="exact"/>
      <w:ind w:left="2268"/>
      <w:outlineLvl w:val="6"/>
    </w:pPr>
    <w:rPr>
      <w:snapToGrid w:val="0"/>
      <w:szCs w:val="28"/>
      <w:lang w:eastAsia="he-IL"/>
    </w:rPr>
  </w:style>
  <w:style w:type="paragraph" w:styleId="Heading8">
    <w:name w:val="heading 8"/>
    <w:basedOn w:val="Normal"/>
    <w:next w:val="Normal"/>
    <w:link w:val="Heading8Char"/>
    <w:uiPriority w:val="99"/>
    <w:qFormat/>
    <w:rsid w:val="00952EB2"/>
    <w:pPr>
      <w:spacing w:before="240" w:after="60"/>
      <w:outlineLvl w:val="7"/>
    </w:pPr>
    <w:rPr>
      <w:rFonts w:cs="Times New Roman"/>
      <w:i/>
      <w:iCs/>
      <w:sz w:val="24"/>
    </w:rPr>
  </w:style>
  <w:style w:type="paragraph" w:styleId="Heading9">
    <w:name w:val="heading 9"/>
    <w:basedOn w:val="Normal"/>
    <w:next w:val="Normal"/>
    <w:link w:val="Heading9Char"/>
    <w:uiPriority w:val="99"/>
    <w:qFormat/>
    <w:rsid w:val="00952EB2"/>
    <w:pPr>
      <w:keepNext/>
      <w:spacing w:line="300" w:lineRule="exact"/>
      <w:ind w:left="2268"/>
      <w:outlineLvl w:val="8"/>
    </w:pPr>
    <w:rPr>
      <w:bCs/>
      <w:snapToGrid w:val="0"/>
      <w:u w:val="single"/>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2 Char,כותרת 1 תו1 Char,כותרת 1 תו תו Char,כותרת 1 תו תו תו תו תו תו תו תו תו תו תו תו Char,כותרת 1 תו תו תו תו תו תו תו תו תו תו תו תו תו Char Char Char Char Char Char Char Char Char Char Char Char Char Char Char Char Char Char Char"/>
    <w:basedOn w:val="DefaultParagraphFont"/>
    <w:link w:val="Heading1"/>
    <w:rsid w:val="005A788C"/>
    <w:rPr>
      <w:rFonts w:asciiTheme="minorBidi" w:eastAsia="Times New Roman" w:hAnsiTheme="minorBidi"/>
      <w:b/>
      <w:bCs/>
      <w:noProof/>
      <w:color w:val="FF6600"/>
      <w:sz w:val="24"/>
      <w:szCs w:val="24"/>
      <w:lang w:eastAsia="he-IL"/>
    </w:rPr>
  </w:style>
  <w:style w:type="character" w:customStyle="1" w:styleId="Heading2Char">
    <w:name w:val="Heading 2 Char"/>
    <w:aliases w:val="s Char"/>
    <w:basedOn w:val="DefaultParagraphFont"/>
    <w:link w:val="Heading2"/>
    <w:rsid w:val="00C85AE8"/>
    <w:rPr>
      <w:rFonts w:ascii="Arial" w:eastAsia="Times New Roman" w:hAnsi="Arial" w:cs="Arial"/>
      <w:bCs/>
      <w:szCs w:val="20"/>
    </w:rPr>
  </w:style>
  <w:style w:type="character" w:customStyle="1" w:styleId="Heading3Char">
    <w:name w:val="Heading 3 Char"/>
    <w:aliases w:val="תת כותרת Char,כותרת 3 תו1 תו Char,כותרת 3 תו תו תו Char,Heading 3 תו תו תו Char"/>
    <w:basedOn w:val="DefaultParagraphFont"/>
    <w:link w:val="Heading3"/>
    <w:rsid w:val="00582E53"/>
    <w:rPr>
      <w:rFonts w:asciiTheme="minorBidi" w:eastAsia="Times New Roman" w:hAnsiTheme="minorBidi"/>
      <w:b/>
      <w:bCs/>
      <w:snapToGrid w:val="0"/>
      <w:color w:val="000000"/>
      <w:sz w:val="20"/>
      <w:szCs w:val="20"/>
    </w:rPr>
  </w:style>
  <w:style w:type="character" w:customStyle="1" w:styleId="Heading4Char">
    <w:name w:val="Heading 4 Char"/>
    <w:basedOn w:val="DefaultParagraphFont"/>
    <w:link w:val="Heading4"/>
    <w:rsid w:val="00952EB2"/>
    <w:rPr>
      <w:rFonts w:ascii="Arial" w:eastAsia="Times New Roman" w:hAnsi="Arial" w:cs="Arial"/>
      <w:bCs/>
      <w:snapToGrid w:val="0"/>
      <w:color w:val="000000"/>
      <w:sz w:val="24"/>
      <w:szCs w:val="20"/>
      <w:lang w:eastAsia="he-IL"/>
    </w:rPr>
  </w:style>
  <w:style w:type="character" w:customStyle="1" w:styleId="Heading5Char">
    <w:name w:val="Heading 5 Char"/>
    <w:basedOn w:val="DefaultParagraphFont"/>
    <w:link w:val="Heading5"/>
    <w:rsid w:val="00952EB2"/>
    <w:rPr>
      <w:rFonts w:ascii="Arial" w:eastAsia="Times New Roman" w:hAnsi="Arial" w:cs="Arial"/>
      <w:b/>
      <w:bCs/>
      <w:snapToGrid w:val="0"/>
      <w:color w:val="000000"/>
      <w:sz w:val="18"/>
      <w:szCs w:val="20"/>
      <w:lang w:eastAsia="he-IL"/>
    </w:rPr>
  </w:style>
  <w:style w:type="character" w:customStyle="1" w:styleId="Heading6Char">
    <w:name w:val="Heading 6 Char"/>
    <w:basedOn w:val="DefaultParagraphFont"/>
    <w:link w:val="Heading6"/>
    <w:rsid w:val="00952EB2"/>
    <w:rPr>
      <w:rFonts w:ascii="Arial" w:eastAsia="Times New Roman" w:hAnsi="Arial" w:cs="Times New Roman"/>
      <w:b/>
      <w:bCs/>
      <w:color w:val="000000"/>
      <w:sz w:val="18"/>
    </w:rPr>
  </w:style>
  <w:style w:type="character" w:customStyle="1" w:styleId="Heading7Char">
    <w:name w:val="Heading 7 Char"/>
    <w:basedOn w:val="DefaultParagraphFont"/>
    <w:link w:val="Heading7"/>
    <w:uiPriority w:val="99"/>
    <w:rsid w:val="00952EB2"/>
    <w:rPr>
      <w:rFonts w:ascii="Arial" w:eastAsia="Times New Roman" w:hAnsi="Arial" w:cs="Arial"/>
      <w:snapToGrid w:val="0"/>
      <w:color w:val="000000"/>
      <w:sz w:val="18"/>
      <w:szCs w:val="28"/>
      <w:lang w:eastAsia="he-IL"/>
    </w:rPr>
  </w:style>
  <w:style w:type="character" w:customStyle="1" w:styleId="Heading8Char">
    <w:name w:val="Heading 8 Char"/>
    <w:basedOn w:val="DefaultParagraphFont"/>
    <w:link w:val="Heading8"/>
    <w:uiPriority w:val="99"/>
    <w:rsid w:val="00952EB2"/>
    <w:rPr>
      <w:rFonts w:ascii="Arial" w:eastAsia="Times New Roman" w:hAnsi="Arial" w:cs="Times New Roman"/>
      <w:i/>
      <w:iCs/>
      <w:color w:val="000000"/>
      <w:sz w:val="24"/>
      <w:szCs w:val="20"/>
    </w:rPr>
  </w:style>
  <w:style w:type="character" w:customStyle="1" w:styleId="Heading9Char">
    <w:name w:val="Heading 9 Char"/>
    <w:basedOn w:val="DefaultParagraphFont"/>
    <w:link w:val="Heading9"/>
    <w:uiPriority w:val="99"/>
    <w:rsid w:val="00952EB2"/>
    <w:rPr>
      <w:rFonts w:ascii="Arial" w:eastAsia="Times New Roman" w:hAnsi="Arial" w:cs="Arial"/>
      <w:bCs/>
      <w:snapToGrid w:val="0"/>
      <w:color w:val="000000"/>
      <w:sz w:val="18"/>
      <w:szCs w:val="20"/>
      <w:u w:val="single"/>
      <w:lang w:eastAsia="he-IL"/>
    </w:rPr>
  </w:style>
  <w:style w:type="paragraph" w:customStyle="1" w:styleId="a">
    <w:name w:val="מספור אותיות"/>
    <w:basedOn w:val="Normal"/>
    <w:rsid w:val="00952EB2"/>
    <w:pPr>
      <w:numPr>
        <w:numId w:val="2"/>
      </w:numPr>
      <w:spacing w:before="200"/>
      <w:ind w:right="0"/>
    </w:pPr>
  </w:style>
  <w:style w:type="paragraph" w:styleId="Header">
    <w:name w:val="header"/>
    <w:basedOn w:val="Normal"/>
    <w:link w:val="HeaderChar"/>
    <w:rsid w:val="00952EB2"/>
    <w:pPr>
      <w:tabs>
        <w:tab w:val="center" w:pos="4153"/>
        <w:tab w:val="right" w:pos="8306"/>
      </w:tabs>
    </w:pPr>
  </w:style>
  <w:style w:type="character" w:customStyle="1" w:styleId="HeaderChar">
    <w:name w:val="Header Char"/>
    <w:basedOn w:val="DefaultParagraphFont"/>
    <w:link w:val="Header"/>
    <w:rsid w:val="00952EB2"/>
    <w:rPr>
      <w:rFonts w:ascii="Arial" w:eastAsia="Times New Roman" w:hAnsi="Arial" w:cs="Arial"/>
      <w:color w:val="000000"/>
      <w:sz w:val="18"/>
      <w:szCs w:val="20"/>
    </w:rPr>
  </w:style>
  <w:style w:type="paragraph" w:styleId="Footer">
    <w:name w:val="footer"/>
    <w:basedOn w:val="Normal"/>
    <w:link w:val="FooterChar"/>
    <w:uiPriority w:val="99"/>
    <w:rsid w:val="00952EB2"/>
    <w:pPr>
      <w:tabs>
        <w:tab w:val="center" w:pos="4153"/>
        <w:tab w:val="right" w:pos="8306"/>
      </w:tabs>
    </w:pPr>
  </w:style>
  <w:style w:type="character" w:customStyle="1" w:styleId="FooterChar">
    <w:name w:val="Footer Char"/>
    <w:basedOn w:val="DefaultParagraphFont"/>
    <w:link w:val="Footer"/>
    <w:uiPriority w:val="99"/>
    <w:rsid w:val="00952EB2"/>
    <w:rPr>
      <w:rFonts w:ascii="Arial" w:eastAsia="Times New Roman" w:hAnsi="Arial" w:cs="Arial"/>
      <w:color w:val="000000"/>
      <w:sz w:val="18"/>
      <w:szCs w:val="20"/>
    </w:rPr>
  </w:style>
  <w:style w:type="character" w:styleId="PageNumber">
    <w:name w:val="page number"/>
    <w:basedOn w:val="DefaultParagraphFont"/>
    <w:rsid w:val="00952EB2"/>
  </w:style>
  <w:style w:type="paragraph" w:customStyle="1" w:styleId="a1">
    <w:name w:val="ממוספר"/>
    <w:basedOn w:val="Normal"/>
    <w:uiPriority w:val="99"/>
    <w:rsid w:val="00952EB2"/>
    <w:pPr>
      <w:spacing w:before="200"/>
    </w:pPr>
  </w:style>
  <w:style w:type="paragraph" w:customStyle="1" w:styleId="a0">
    <w:name w:val="א"/>
    <w:basedOn w:val="Normal"/>
    <w:uiPriority w:val="99"/>
    <w:rsid w:val="00952EB2"/>
    <w:pPr>
      <w:numPr>
        <w:numId w:val="1"/>
      </w:numPr>
      <w:spacing w:before="200"/>
    </w:pPr>
  </w:style>
  <w:style w:type="paragraph" w:customStyle="1" w:styleId="a2">
    <w:name w:val="כותרת טבלה"/>
    <w:basedOn w:val="Normal"/>
    <w:link w:val="a3"/>
    <w:autoRedefine/>
    <w:uiPriority w:val="99"/>
    <w:rsid w:val="00952EB2"/>
    <w:pPr>
      <w:tabs>
        <w:tab w:val="left" w:pos="954"/>
        <w:tab w:val="left" w:pos="4340"/>
        <w:tab w:val="left" w:pos="5820"/>
        <w:tab w:val="left" w:pos="7220"/>
        <w:tab w:val="left" w:pos="8220"/>
        <w:tab w:val="left" w:pos="9240"/>
      </w:tabs>
      <w:spacing w:line="340" w:lineRule="exact"/>
    </w:pPr>
    <w:rPr>
      <w:b/>
      <w:bCs/>
      <w:snapToGrid w:val="0"/>
      <w:sz w:val="24"/>
    </w:rPr>
  </w:style>
  <w:style w:type="paragraph" w:styleId="Caption">
    <w:name w:val="caption"/>
    <w:basedOn w:val="Normal"/>
    <w:next w:val="Normal"/>
    <w:uiPriority w:val="99"/>
    <w:qFormat/>
    <w:rsid w:val="00952EB2"/>
    <w:pPr>
      <w:keepNext/>
      <w:numPr>
        <w:ilvl w:val="2"/>
        <w:numId w:val="4"/>
      </w:numPr>
      <w:spacing w:before="60" w:after="60" w:line="240" w:lineRule="atLeast"/>
      <w:ind w:right="0"/>
    </w:pPr>
    <w:rPr>
      <w:noProof/>
      <w:sz w:val="24"/>
      <w:szCs w:val="26"/>
      <w:u w:val="single"/>
      <w:lang w:eastAsia="he-IL"/>
    </w:rPr>
  </w:style>
  <w:style w:type="paragraph" w:customStyle="1" w:styleId="BalloonText1">
    <w:name w:val="Balloon Text1"/>
    <w:basedOn w:val="Normal"/>
    <w:semiHidden/>
    <w:rsid w:val="00952EB2"/>
    <w:rPr>
      <w:rFonts w:ascii="Tahoma" w:hAnsi="Tahoma" w:cs="Tahoma"/>
      <w:sz w:val="16"/>
      <w:szCs w:val="16"/>
    </w:rPr>
  </w:style>
  <w:style w:type="paragraph" w:styleId="FootnoteText">
    <w:name w:val="footnote text"/>
    <w:aliases w:val="VM_Note de bas de page,טקסט הערות שוליים תו,טקסט הערות שוליים תו תו,תו תו תו,טקסט הערות שוליים, תו תו תו"/>
    <w:basedOn w:val="Normal"/>
    <w:link w:val="FootnoteTextChar2"/>
    <w:rsid w:val="00952EB2"/>
    <w:pPr>
      <w:jc w:val="left"/>
    </w:pPr>
    <w:rPr>
      <w:rFonts w:cs="Miriam"/>
      <w:sz w:val="20"/>
    </w:rPr>
  </w:style>
  <w:style w:type="character" w:customStyle="1" w:styleId="FootnoteTextChar2">
    <w:name w:val="Footnote Text Char2"/>
    <w:aliases w:val="VM_Note de bas de page Char,טקסט הערות שוליים תו Char,טקסט הערות שוליים תו תו Char,תו תו תו Char,טקסט הערות שוליים Char, תו תו תו Char"/>
    <w:basedOn w:val="DefaultParagraphFont"/>
    <w:link w:val="FootnoteText"/>
    <w:rsid w:val="00952EB2"/>
    <w:rPr>
      <w:rFonts w:ascii="Arial" w:eastAsia="Times New Roman" w:hAnsi="Arial" w:cs="Miriam"/>
      <w:color w:val="000000"/>
      <w:sz w:val="20"/>
      <w:szCs w:val="20"/>
    </w:rPr>
  </w:style>
  <w:style w:type="character" w:styleId="FootnoteReference">
    <w:name w:val="footnote reference"/>
    <w:aliases w:val="הפנייה להערת שוליים,Footnote Reference + ‏10 נק'"/>
    <w:rsid w:val="00952EB2"/>
    <w:rPr>
      <w:vertAlign w:val="superscript"/>
    </w:rPr>
  </w:style>
  <w:style w:type="paragraph" w:customStyle="1" w:styleId="a4">
    <w:name w:val="ראש"/>
    <w:basedOn w:val="Heading6"/>
    <w:uiPriority w:val="99"/>
    <w:rsid w:val="00952EB2"/>
    <w:pPr>
      <w:keepNext/>
      <w:tabs>
        <w:tab w:val="left" w:pos="7440"/>
        <w:tab w:val="left" w:pos="8720"/>
      </w:tabs>
      <w:spacing w:before="0" w:after="0" w:line="320" w:lineRule="exact"/>
      <w:ind w:hanging="340"/>
    </w:pPr>
    <w:rPr>
      <w:rFonts w:cs="David"/>
      <w:b w:val="0"/>
      <w:bCs w:val="0"/>
      <w:snapToGrid w:val="0"/>
      <w:sz w:val="24"/>
      <w:szCs w:val="20"/>
      <w:lang w:eastAsia="he-IL"/>
    </w:rPr>
  </w:style>
  <w:style w:type="paragraph" w:styleId="Signature">
    <w:name w:val="Signature"/>
    <w:basedOn w:val="Normal"/>
    <w:link w:val="SignatureChar"/>
    <w:rsid w:val="00952EB2"/>
    <w:pPr>
      <w:ind w:left="4252"/>
    </w:pPr>
    <w:rPr>
      <w:sz w:val="24"/>
      <w:lang w:eastAsia="he-IL"/>
    </w:rPr>
  </w:style>
  <w:style w:type="character" w:customStyle="1" w:styleId="SignatureChar">
    <w:name w:val="Signature Char"/>
    <w:basedOn w:val="DefaultParagraphFont"/>
    <w:link w:val="Signature"/>
    <w:rsid w:val="00952EB2"/>
    <w:rPr>
      <w:rFonts w:ascii="Arial" w:eastAsia="Times New Roman" w:hAnsi="Arial" w:cs="Arial"/>
      <w:color w:val="000000"/>
      <w:sz w:val="24"/>
      <w:szCs w:val="20"/>
      <w:lang w:eastAsia="he-IL"/>
    </w:rPr>
  </w:style>
  <w:style w:type="paragraph" w:styleId="NormalWeb">
    <w:name w:val="Normal (Web)"/>
    <w:basedOn w:val="Normal"/>
    <w:uiPriority w:val="99"/>
    <w:rsid w:val="00952EB2"/>
    <w:pPr>
      <w:spacing w:before="100" w:beforeAutospacing="1" w:after="100" w:afterAutospacing="1"/>
      <w:jc w:val="left"/>
    </w:pPr>
    <w:rPr>
      <w:rFonts w:cs="Times New Roman"/>
      <w:sz w:val="24"/>
    </w:rPr>
  </w:style>
  <w:style w:type="paragraph" w:styleId="BlockText">
    <w:name w:val="Block Text"/>
    <w:basedOn w:val="Normal"/>
    <w:uiPriority w:val="99"/>
    <w:rsid w:val="00952EB2"/>
    <w:pPr>
      <w:tabs>
        <w:tab w:val="left" w:pos="4560"/>
        <w:tab w:val="left" w:pos="5480"/>
        <w:tab w:val="left" w:pos="6400"/>
        <w:tab w:val="left" w:pos="7540"/>
        <w:tab w:val="left" w:pos="8500"/>
        <w:tab w:val="left" w:pos="9440"/>
      </w:tabs>
      <w:spacing w:line="300" w:lineRule="exact"/>
      <w:ind w:left="318" w:right="318" w:hanging="318"/>
    </w:pPr>
    <w:rPr>
      <w:snapToGrid w:val="0"/>
      <w:sz w:val="24"/>
      <w:szCs w:val="18"/>
      <w:lang w:eastAsia="he-IL"/>
    </w:rPr>
  </w:style>
  <w:style w:type="paragraph" w:customStyle="1" w:styleId="a5">
    <w:name w:val="כותרת מלל"/>
    <w:basedOn w:val="Normal"/>
    <w:autoRedefine/>
    <w:uiPriority w:val="99"/>
    <w:rsid w:val="00952EB2"/>
    <w:pPr>
      <w:tabs>
        <w:tab w:val="left" w:pos="1946"/>
        <w:tab w:val="left" w:pos="1985"/>
        <w:tab w:val="left" w:pos="7440"/>
        <w:tab w:val="left" w:pos="8720"/>
      </w:tabs>
      <w:spacing w:line="340" w:lineRule="exact"/>
      <w:ind w:left="1474" w:right="1474" w:hanging="340"/>
    </w:pPr>
    <w:rPr>
      <w:rFonts w:cs="OronBlackMF"/>
      <w:snapToGrid w:val="0"/>
      <w:szCs w:val="22"/>
    </w:rPr>
  </w:style>
  <w:style w:type="paragraph" w:customStyle="1" w:styleId="-">
    <w:name w:val="תת-ראשי"/>
    <w:basedOn w:val="Normal"/>
    <w:autoRedefine/>
    <w:uiPriority w:val="99"/>
    <w:rsid w:val="00952EB2"/>
    <w:pPr>
      <w:tabs>
        <w:tab w:val="left" w:pos="2050"/>
        <w:tab w:val="left" w:pos="7440"/>
        <w:tab w:val="left" w:pos="8720"/>
        <w:tab w:val="left" w:pos="9070"/>
      </w:tabs>
      <w:spacing w:before="120" w:after="120" w:line="360" w:lineRule="auto"/>
      <w:ind w:left="2050"/>
    </w:pPr>
    <w:rPr>
      <w:snapToGrid w:val="0"/>
      <w:spacing w:val="10"/>
      <w:sz w:val="24"/>
    </w:rPr>
  </w:style>
  <w:style w:type="paragraph" w:styleId="BodyText">
    <w:name w:val="Body Text"/>
    <w:basedOn w:val="Normal"/>
    <w:link w:val="BodyTextChar"/>
    <w:uiPriority w:val="99"/>
    <w:rsid w:val="00952EB2"/>
    <w:rPr>
      <w:sz w:val="20"/>
    </w:rPr>
  </w:style>
  <w:style w:type="character" w:customStyle="1" w:styleId="BodyTextChar">
    <w:name w:val="Body Text Char"/>
    <w:basedOn w:val="DefaultParagraphFont"/>
    <w:link w:val="BodyText"/>
    <w:uiPriority w:val="99"/>
    <w:rsid w:val="00952EB2"/>
    <w:rPr>
      <w:rFonts w:ascii="Arial" w:eastAsia="Times New Roman" w:hAnsi="Arial" w:cs="Arial"/>
      <w:color w:val="000000"/>
      <w:sz w:val="20"/>
      <w:szCs w:val="20"/>
    </w:rPr>
  </w:style>
  <w:style w:type="paragraph" w:styleId="ListBullet">
    <w:name w:val="List Bullet"/>
    <w:basedOn w:val="Normal"/>
    <w:autoRedefine/>
    <w:rsid w:val="00952EB2"/>
    <w:pPr>
      <w:widowControl w:val="0"/>
      <w:numPr>
        <w:numId w:val="3"/>
      </w:numPr>
      <w:jc w:val="left"/>
    </w:pPr>
    <w:rPr>
      <w:snapToGrid w:val="0"/>
      <w:sz w:val="20"/>
      <w:lang w:eastAsia="he-IL"/>
    </w:rPr>
  </w:style>
  <w:style w:type="paragraph" w:styleId="BodyText2">
    <w:name w:val="Body Text 2"/>
    <w:basedOn w:val="Normal"/>
    <w:link w:val="BodyText2Char"/>
    <w:uiPriority w:val="99"/>
    <w:rsid w:val="00952EB2"/>
    <w:pPr>
      <w:spacing w:line="360" w:lineRule="auto"/>
    </w:pPr>
    <w:rPr>
      <w:color w:val="FF0000"/>
      <w:sz w:val="20"/>
      <w:lang w:eastAsia="he-IL"/>
    </w:rPr>
  </w:style>
  <w:style w:type="character" w:customStyle="1" w:styleId="BodyText2Char">
    <w:name w:val="Body Text 2 Char"/>
    <w:basedOn w:val="DefaultParagraphFont"/>
    <w:link w:val="BodyText2"/>
    <w:uiPriority w:val="99"/>
    <w:rsid w:val="00952EB2"/>
    <w:rPr>
      <w:rFonts w:ascii="Arial" w:eastAsia="Times New Roman" w:hAnsi="Arial" w:cs="Arial"/>
      <w:color w:val="FF0000"/>
      <w:sz w:val="20"/>
      <w:szCs w:val="20"/>
      <w:lang w:eastAsia="he-IL"/>
    </w:rPr>
  </w:style>
  <w:style w:type="paragraph" w:styleId="BodyTextIndent">
    <w:name w:val="Body Text Indent"/>
    <w:basedOn w:val="Normal"/>
    <w:link w:val="BodyTextIndentChar"/>
    <w:uiPriority w:val="99"/>
    <w:rsid w:val="00952EB2"/>
    <w:pPr>
      <w:widowControl w:val="0"/>
      <w:spacing w:line="340" w:lineRule="exact"/>
      <w:ind w:left="2489"/>
    </w:pPr>
    <w:rPr>
      <w:rFonts w:cs="OronMF"/>
      <w:snapToGrid w:val="0"/>
      <w:lang w:eastAsia="he-IL"/>
    </w:rPr>
  </w:style>
  <w:style w:type="character" w:customStyle="1" w:styleId="BodyTextIndentChar">
    <w:name w:val="Body Text Indent Char"/>
    <w:basedOn w:val="DefaultParagraphFont"/>
    <w:link w:val="BodyTextIndent"/>
    <w:uiPriority w:val="99"/>
    <w:rsid w:val="00952EB2"/>
    <w:rPr>
      <w:rFonts w:ascii="Arial" w:eastAsia="Times New Roman" w:hAnsi="Arial" w:cs="OronMF"/>
      <w:snapToGrid w:val="0"/>
      <w:color w:val="000000"/>
      <w:sz w:val="18"/>
      <w:szCs w:val="20"/>
      <w:lang w:eastAsia="he-IL"/>
    </w:rPr>
  </w:style>
  <w:style w:type="paragraph" w:customStyle="1" w:styleId="a6">
    <w:name w:val="כותרת"/>
    <w:basedOn w:val="Normal"/>
    <w:uiPriority w:val="99"/>
    <w:rsid w:val="00952EB2"/>
    <w:pPr>
      <w:spacing w:line="300" w:lineRule="exact"/>
      <w:ind w:left="2268"/>
    </w:pPr>
    <w:rPr>
      <w:rFonts w:cs="OronBlackMF"/>
      <w:snapToGrid w:val="0"/>
      <w:szCs w:val="26"/>
      <w:lang w:eastAsia="he-IL"/>
    </w:rPr>
  </w:style>
  <w:style w:type="paragraph" w:styleId="BodyTextIndent2">
    <w:name w:val="Body Text Indent 2"/>
    <w:basedOn w:val="Normal"/>
    <w:link w:val="BodyTextIndent2Char"/>
    <w:uiPriority w:val="99"/>
    <w:rsid w:val="00952EB2"/>
    <w:pPr>
      <w:overflowPunct w:val="0"/>
      <w:autoSpaceDE w:val="0"/>
      <w:autoSpaceDN w:val="0"/>
      <w:adjustRightInd w:val="0"/>
      <w:spacing w:line="360" w:lineRule="auto"/>
      <w:ind w:firstLine="271"/>
      <w:textAlignment w:val="baseline"/>
    </w:pPr>
    <w:rPr>
      <w:rFonts w:cs="Times New Roman"/>
      <w:sz w:val="24"/>
      <w:lang w:eastAsia="he-IL"/>
    </w:rPr>
  </w:style>
  <w:style w:type="character" w:customStyle="1" w:styleId="BodyTextIndent2Char">
    <w:name w:val="Body Text Indent 2 Char"/>
    <w:basedOn w:val="DefaultParagraphFont"/>
    <w:link w:val="BodyTextIndent2"/>
    <w:uiPriority w:val="99"/>
    <w:rsid w:val="00952EB2"/>
    <w:rPr>
      <w:rFonts w:ascii="Arial" w:eastAsia="Times New Roman" w:hAnsi="Arial" w:cs="Times New Roman"/>
      <w:color w:val="000000"/>
      <w:sz w:val="24"/>
      <w:szCs w:val="20"/>
      <w:lang w:eastAsia="he-IL"/>
    </w:rPr>
  </w:style>
  <w:style w:type="paragraph" w:customStyle="1" w:styleId="a7">
    <w:name w:val="טפחות"/>
    <w:rsid w:val="00952EB2"/>
    <w:pPr>
      <w:spacing w:after="0" w:line="360" w:lineRule="auto"/>
      <w:jc w:val="both"/>
    </w:pPr>
    <w:rPr>
      <w:rFonts w:ascii="Courier New" w:eastAsia="Times New Roman" w:hAnsi="Courier New" w:cs="David"/>
      <w:szCs w:val="24"/>
      <w:lang w:eastAsia="he-IL"/>
    </w:rPr>
  </w:style>
  <w:style w:type="paragraph" w:styleId="BodyTextIndent3">
    <w:name w:val="Body Text Indent 3"/>
    <w:basedOn w:val="Normal"/>
    <w:link w:val="BodyTextIndent3Char"/>
    <w:rsid w:val="00952EB2"/>
    <w:pPr>
      <w:widowControl w:val="0"/>
      <w:spacing w:line="320" w:lineRule="exact"/>
      <w:ind w:left="2268"/>
    </w:pPr>
    <w:rPr>
      <w:rFonts w:cs="OronMF"/>
      <w:b/>
      <w:bCs/>
      <w:snapToGrid w:val="0"/>
      <w:lang w:eastAsia="he-IL"/>
    </w:rPr>
  </w:style>
  <w:style w:type="character" w:customStyle="1" w:styleId="BodyTextIndent3Char">
    <w:name w:val="Body Text Indent 3 Char"/>
    <w:basedOn w:val="DefaultParagraphFont"/>
    <w:link w:val="BodyTextIndent3"/>
    <w:rsid w:val="00952EB2"/>
    <w:rPr>
      <w:rFonts w:ascii="Arial" w:eastAsia="Times New Roman" w:hAnsi="Arial" w:cs="OronMF"/>
      <w:b/>
      <w:bCs/>
      <w:snapToGrid w:val="0"/>
      <w:color w:val="000000"/>
      <w:sz w:val="18"/>
      <w:szCs w:val="20"/>
      <w:lang w:eastAsia="he-IL"/>
    </w:rPr>
  </w:style>
  <w:style w:type="paragraph" w:styleId="BodyText3">
    <w:name w:val="Body Text 3"/>
    <w:basedOn w:val="Normal"/>
    <w:link w:val="BodyText3Char"/>
    <w:uiPriority w:val="99"/>
    <w:rsid w:val="00952EB2"/>
    <w:pPr>
      <w:widowControl w:val="0"/>
      <w:jc w:val="center"/>
    </w:pPr>
    <w:rPr>
      <w:snapToGrid w:val="0"/>
      <w:sz w:val="20"/>
      <w:lang w:eastAsia="he-IL"/>
    </w:rPr>
  </w:style>
  <w:style w:type="character" w:customStyle="1" w:styleId="BodyText3Char">
    <w:name w:val="Body Text 3 Char"/>
    <w:basedOn w:val="DefaultParagraphFont"/>
    <w:link w:val="BodyText3"/>
    <w:uiPriority w:val="99"/>
    <w:rsid w:val="00952EB2"/>
    <w:rPr>
      <w:rFonts w:ascii="Arial" w:eastAsia="Times New Roman" w:hAnsi="Arial" w:cs="Arial"/>
      <w:snapToGrid w:val="0"/>
      <w:color w:val="000000"/>
      <w:sz w:val="20"/>
      <w:szCs w:val="20"/>
      <w:lang w:eastAsia="he-IL"/>
    </w:rPr>
  </w:style>
  <w:style w:type="paragraph" w:customStyle="1" w:styleId="10">
    <w:name w:val="סגנון1"/>
    <w:basedOn w:val="Normal"/>
    <w:autoRedefine/>
    <w:uiPriority w:val="99"/>
    <w:rsid w:val="00952EB2"/>
    <w:pPr>
      <w:tabs>
        <w:tab w:val="left" w:pos="386"/>
      </w:tabs>
      <w:spacing w:line="360" w:lineRule="auto"/>
    </w:pPr>
    <w:rPr>
      <w:sz w:val="24"/>
    </w:rPr>
  </w:style>
  <w:style w:type="paragraph" w:customStyle="1" w:styleId="a8">
    <w:name w:val="ממוספר תו"/>
    <w:basedOn w:val="Normal"/>
    <w:rsid w:val="00952EB2"/>
    <w:pPr>
      <w:spacing w:before="200"/>
    </w:pPr>
    <w:rPr>
      <w:snapToGrid w:val="0"/>
    </w:rPr>
  </w:style>
  <w:style w:type="character" w:customStyle="1" w:styleId="a9">
    <w:name w:val="ממוספר תו תו"/>
    <w:rsid w:val="00952EB2"/>
    <w:rPr>
      <w:rFonts w:cs="David"/>
      <w:snapToGrid w:val="0"/>
      <w:sz w:val="22"/>
      <w:szCs w:val="24"/>
      <w:lang w:val="en-US" w:eastAsia="en-US" w:bidi="he-IL"/>
    </w:rPr>
  </w:style>
  <w:style w:type="paragraph" w:styleId="Title">
    <w:name w:val="Title"/>
    <w:aliases w:val="איות 2"/>
    <w:basedOn w:val="Normal"/>
    <w:link w:val="TitleChar"/>
    <w:uiPriority w:val="99"/>
    <w:rsid w:val="00952EB2"/>
    <w:pPr>
      <w:jc w:val="center"/>
    </w:pPr>
    <w:rPr>
      <w:b/>
      <w:bCs/>
      <w:sz w:val="20"/>
      <w:szCs w:val="32"/>
      <w:u w:val="single"/>
    </w:rPr>
  </w:style>
  <w:style w:type="character" w:customStyle="1" w:styleId="TitleChar">
    <w:name w:val="Title Char"/>
    <w:aliases w:val="איות 2 Char"/>
    <w:basedOn w:val="DefaultParagraphFont"/>
    <w:link w:val="Title"/>
    <w:uiPriority w:val="99"/>
    <w:rsid w:val="00952EB2"/>
    <w:rPr>
      <w:rFonts w:ascii="Arial" w:eastAsia="Times New Roman" w:hAnsi="Arial" w:cs="Arial"/>
      <w:b/>
      <w:bCs/>
      <w:color w:val="000000"/>
      <w:sz w:val="20"/>
      <w:szCs w:val="32"/>
      <w:u w:val="single"/>
    </w:rPr>
  </w:style>
  <w:style w:type="paragraph" w:styleId="EndnoteText">
    <w:name w:val="endnote text"/>
    <w:basedOn w:val="Normal"/>
    <w:link w:val="EndnoteTextChar"/>
    <w:uiPriority w:val="99"/>
    <w:rsid w:val="00952EB2"/>
    <w:rPr>
      <w:sz w:val="20"/>
    </w:rPr>
  </w:style>
  <w:style w:type="character" w:customStyle="1" w:styleId="EndnoteTextChar">
    <w:name w:val="Endnote Text Char"/>
    <w:basedOn w:val="DefaultParagraphFont"/>
    <w:link w:val="EndnoteText"/>
    <w:uiPriority w:val="99"/>
    <w:rsid w:val="00952EB2"/>
    <w:rPr>
      <w:rFonts w:ascii="Arial" w:eastAsia="Times New Roman" w:hAnsi="Arial" w:cs="Arial"/>
      <w:color w:val="000000"/>
      <w:sz w:val="20"/>
      <w:szCs w:val="20"/>
    </w:rPr>
  </w:style>
  <w:style w:type="character" w:styleId="EndnoteReference">
    <w:name w:val="endnote reference"/>
    <w:rsid w:val="00952EB2"/>
    <w:rPr>
      <w:vertAlign w:val="superscript"/>
    </w:rPr>
  </w:style>
  <w:style w:type="table" w:styleId="TableGrid">
    <w:name w:val="Table Grid"/>
    <w:basedOn w:val="TableNormal"/>
    <w:uiPriority w:val="59"/>
    <w:rsid w:val="00952EB2"/>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rsid w:val="00952EB2"/>
    <w:rPr>
      <w:rFonts w:ascii="Tahoma" w:hAnsi="Tahoma" w:cs="Tahoma"/>
      <w:sz w:val="16"/>
      <w:szCs w:val="16"/>
    </w:rPr>
  </w:style>
  <w:style w:type="character" w:customStyle="1" w:styleId="BalloonTextChar">
    <w:name w:val="Balloon Text Char"/>
    <w:basedOn w:val="DefaultParagraphFont"/>
    <w:link w:val="BalloonText"/>
    <w:uiPriority w:val="99"/>
    <w:rsid w:val="00952EB2"/>
    <w:rPr>
      <w:rFonts w:ascii="Tahoma" w:eastAsia="Times New Roman" w:hAnsi="Tahoma" w:cs="Tahoma"/>
      <w:color w:val="000000"/>
      <w:sz w:val="16"/>
      <w:szCs w:val="16"/>
    </w:rPr>
  </w:style>
  <w:style w:type="table" w:styleId="TableList3">
    <w:name w:val="Table List 3"/>
    <w:basedOn w:val="TableNormal"/>
    <w:rsid w:val="00952EB2"/>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styleId="Strong">
    <w:name w:val="Strong"/>
    <w:aliases w:val="איות"/>
    <w:rsid w:val="00952EB2"/>
    <w:rPr>
      <w:b/>
      <w:bCs/>
    </w:rPr>
  </w:style>
  <w:style w:type="paragraph" w:customStyle="1" w:styleId="11">
    <w:name w:val="1"/>
    <w:basedOn w:val="Normal"/>
    <w:uiPriority w:val="99"/>
    <w:rsid w:val="00952EB2"/>
    <w:pPr>
      <w:spacing w:after="160" w:line="240" w:lineRule="exact"/>
      <w:jc w:val="left"/>
    </w:pPr>
    <w:rPr>
      <w:rFonts w:ascii="Tahoma" w:hAnsi="Tahoma" w:cs="Times New Roman"/>
      <w:color w:val="auto"/>
      <w:sz w:val="20"/>
      <w:lang w:bidi="ar-SA"/>
    </w:rPr>
  </w:style>
  <w:style w:type="paragraph" w:customStyle="1" w:styleId="12">
    <w:name w:val="תו1"/>
    <w:basedOn w:val="Normal"/>
    <w:uiPriority w:val="99"/>
    <w:rsid w:val="00952EB2"/>
    <w:pPr>
      <w:spacing w:after="160" w:line="240" w:lineRule="exact"/>
      <w:jc w:val="left"/>
    </w:pPr>
    <w:rPr>
      <w:rFonts w:ascii="Tahoma" w:hAnsi="Tahoma" w:cs="Times New Roman"/>
      <w:color w:val="auto"/>
      <w:sz w:val="20"/>
      <w:lang w:bidi="ar-SA"/>
    </w:rPr>
  </w:style>
  <w:style w:type="paragraph" w:customStyle="1" w:styleId="Char">
    <w:name w:val="Char"/>
    <w:basedOn w:val="Normal"/>
    <w:next w:val="Normal"/>
    <w:autoRedefine/>
    <w:rsid w:val="00952EB2"/>
    <w:pPr>
      <w:spacing w:after="160" w:line="240" w:lineRule="exact"/>
      <w:jc w:val="right"/>
    </w:pPr>
    <w:rPr>
      <w:rFonts w:ascii="Tahoma" w:hAnsi="Tahoma"/>
      <w:color w:val="auto"/>
      <w:sz w:val="22"/>
      <w:szCs w:val="24"/>
      <w:lang w:bidi="ar-SA"/>
    </w:rPr>
  </w:style>
  <w:style w:type="paragraph" w:customStyle="1" w:styleId="1">
    <w:name w:val="כות1"/>
    <w:basedOn w:val="Heading1"/>
    <w:next w:val="2"/>
    <w:rsid w:val="00952EB2"/>
    <w:pPr>
      <w:numPr>
        <w:numId w:val="5"/>
      </w:numPr>
      <w:spacing w:line="360" w:lineRule="auto"/>
    </w:pPr>
    <w:rPr>
      <w:rFonts w:ascii="Times New Roman" w:hAnsi="Times New Roman" w:cs="David"/>
      <w:bCs w:val="0"/>
      <w:color w:val="auto"/>
      <w:szCs w:val="28"/>
    </w:rPr>
  </w:style>
  <w:style w:type="paragraph" w:customStyle="1" w:styleId="2">
    <w:name w:val="כות2"/>
    <w:basedOn w:val="Heading2"/>
    <w:link w:val="20"/>
    <w:rsid w:val="00952EB2"/>
    <w:pPr>
      <w:numPr>
        <w:ilvl w:val="3"/>
        <w:numId w:val="5"/>
      </w:numPr>
      <w:spacing w:after="0" w:line="360" w:lineRule="auto"/>
      <w:jc w:val="left"/>
    </w:pPr>
    <w:rPr>
      <w:rFonts w:cs="David"/>
      <w:bCs w:val="0"/>
      <w:iCs/>
      <w:szCs w:val="24"/>
    </w:rPr>
  </w:style>
  <w:style w:type="character" w:customStyle="1" w:styleId="20">
    <w:name w:val="כות2 תו"/>
    <w:link w:val="2"/>
    <w:rsid w:val="00952EB2"/>
    <w:rPr>
      <w:rFonts w:ascii="Arial" w:eastAsia="Times New Roman" w:hAnsi="Arial" w:cs="David"/>
      <w:iCs/>
      <w:szCs w:val="24"/>
    </w:rPr>
  </w:style>
  <w:style w:type="paragraph" w:customStyle="1" w:styleId="3">
    <w:name w:val="כות3"/>
    <w:basedOn w:val="Heading3"/>
    <w:rsid w:val="00952EB2"/>
    <w:pPr>
      <w:numPr>
        <w:ilvl w:val="2"/>
        <w:numId w:val="5"/>
      </w:numPr>
      <w:tabs>
        <w:tab w:val="clear" w:pos="5140"/>
        <w:tab w:val="clear" w:pos="5960"/>
        <w:tab w:val="clear" w:pos="6680"/>
        <w:tab w:val="clear" w:pos="7360"/>
        <w:tab w:val="clear" w:pos="8320"/>
        <w:tab w:val="clear" w:pos="9360"/>
      </w:tabs>
      <w:spacing w:line="360" w:lineRule="auto"/>
    </w:pPr>
    <w:rPr>
      <w:rFonts w:cs="David"/>
      <w:b w:val="0"/>
      <w:bCs w:val="0"/>
      <w:snapToGrid/>
      <w:color w:val="auto"/>
      <w:sz w:val="26"/>
      <w:szCs w:val="24"/>
    </w:rPr>
  </w:style>
  <w:style w:type="paragraph" w:customStyle="1" w:styleId="21">
    <w:name w:val="סגנון2"/>
    <w:basedOn w:val="Normal"/>
    <w:rsid w:val="00952EB2"/>
    <w:pPr>
      <w:ind w:left="567" w:hanging="567"/>
    </w:pPr>
    <w:rPr>
      <w:rFonts w:ascii="Times New Roman" w:hAnsi="Times New Roman" w:cs="David"/>
      <w:color w:val="auto"/>
      <w:sz w:val="20"/>
    </w:rPr>
  </w:style>
  <w:style w:type="paragraph" w:customStyle="1" w:styleId="HeadHatzaotHok">
    <w:name w:val="Head HatzaotHok"/>
    <w:basedOn w:val="Normal"/>
    <w:link w:val="HeadHatzaotHok0"/>
    <w:rsid w:val="00952EB2"/>
    <w:pPr>
      <w:keepNext/>
      <w:keepLines/>
      <w:widowControl w:val="0"/>
      <w:autoSpaceDE w:val="0"/>
      <w:autoSpaceDN w:val="0"/>
      <w:adjustRightInd w:val="0"/>
      <w:snapToGrid w:val="0"/>
      <w:spacing w:before="240" w:line="360" w:lineRule="auto"/>
      <w:ind w:firstLine="340"/>
      <w:jc w:val="center"/>
      <w:textAlignment w:val="center"/>
    </w:pPr>
    <w:rPr>
      <w:rFonts w:cs="David"/>
      <w:b/>
      <w:bCs/>
      <w:spacing w:val="1"/>
      <w:sz w:val="20"/>
      <w:szCs w:val="26"/>
      <w:lang w:eastAsia="ja-JP"/>
    </w:rPr>
  </w:style>
  <w:style w:type="character" w:customStyle="1" w:styleId="HeadHatzaotHok0">
    <w:name w:val="Head HatzaotHok תו"/>
    <w:link w:val="HeadHatzaotHok"/>
    <w:locked/>
    <w:rsid w:val="00952EB2"/>
    <w:rPr>
      <w:rFonts w:ascii="Arial" w:eastAsia="Times New Roman" w:hAnsi="Arial" w:cs="David"/>
      <w:b/>
      <w:bCs/>
      <w:color w:val="000000"/>
      <w:spacing w:val="1"/>
      <w:sz w:val="20"/>
      <w:szCs w:val="26"/>
      <w:lang w:eastAsia="ja-JP"/>
    </w:rPr>
  </w:style>
  <w:style w:type="paragraph" w:customStyle="1" w:styleId="3CharChar">
    <w:name w:val="תו תו3 Char Char"/>
    <w:basedOn w:val="Normal"/>
    <w:rsid w:val="00952EB2"/>
    <w:pPr>
      <w:spacing w:after="160" w:line="240" w:lineRule="exact"/>
      <w:jc w:val="left"/>
    </w:pPr>
    <w:rPr>
      <w:rFonts w:ascii="Tahoma" w:hAnsi="Tahoma" w:cs="Times New Roman"/>
      <w:color w:val="auto"/>
      <w:lang w:bidi="ar-SA"/>
    </w:rPr>
  </w:style>
  <w:style w:type="paragraph" w:styleId="PlainText">
    <w:name w:val="Plain Text"/>
    <w:basedOn w:val="Normal"/>
    <w:link w:val="PlainTextChar"/>
    <w:uiPriority w:val="99"/>
    <w:unhideWhenUsed/>
    <w:rsid w:val="00952EB2"/>
    <w:pPr>
      <w:jc w:val="left"/>
    </w:pPr>
    <w:rPr>
      <w:rFonts w:ascii="David" w:eastAsia="Calibri" w:hAnsi="Calibri" w:cs="David"/>
      <w:color w:val="auto"/>
      <w:sz w:val="22"/>
      <w:szCs w:val="22"/>
    </w:rPr>
  </w:style>
  <w:style w:type="character" w:customStyle="1" w:styleId="PlainTextChar">
    <w:name w:val="Plain Text Char"/>
    <w:basedOn w:val="DefaultParagraphFont"/>
    <w:link w:val="PlainText"/>
    <w:uiPriority w:val="99"/>
    <w:rsid w:val="00952EB2"/>
    <w:rPr>
      <w:rFonts w:ascii="David" w:eastAsia="Calibri" w:hAnsi="Calibri" w:cs="David"/>
    </w:rPr>
  </w:style>
  <w:style w:type="paragraph" w:customStyle="1" w:styleId="aa">
    <w:name w:val="תו"/>
    <w:basedOn w:val="Normal"/>
    <w:uiPriority w:val="99"/>
    <w:rsid w:val="00952EB2"/>
    <w:pPr>
      <w:spacing w:after="160" w:line="240" w:lineRule="exact"/>
      <w:jc w:val="left"/>
    </w:pPr>
    <w:rPr>
      <w:rFonts w:ascii="Tahoma" w:hAnsi="Tahoma" w:cs="Times New Roman"/>
      <w:color w:val="auto"/>
      <w:lang w:bidi="ar-SA"/>
    </w:rPr>
  </w:style>
  <w:style w:type="paragraph" w:customStyle="1" w:styleId="3CharChar0">
    <w:name w:val="תו תו3 Char Char"/>
    <w:basedOn w:val="Normal"/>
    <w:uiPriority w:val="99"/>
    <w:rsid w:val="00952EB2"/>
    <w:pPr>
      <w:spacing w:after="160" w:line="240" w:lineRule="exact"/>
      <w:jc w:val="left"/>
    </w:pPr>
    <w:rPr>
      <w:rFonts w:ascii="Tahoma" w:hAnsi="Tahoma" w:cs="Times New Roman"/>
      <w:color w:val="auto"/>
      <w:lang w:bidi="ar-SA"/>
    </w:rPr>
  </w:style>
  <w:style w:type="paragraph" w:customStyle="1" w:styleId="Char0">
    <w:name w:val="Char"/>
    <w:basedOn w:val="Normal"/>
    <w:next w:val="Normal"/>
    <w:autoRedefine/>
    <w:uiPriority w:val="99"/>
    <w:rsid w:val="00952EB2"/>
    <w:pPr>
      <w:spacing w:after="160" w:line="240" w:lineRule="exact"/>
      <w:jc w:val="right"/>
    </w:pPr>
    <w:rPr>
      <w:rFonts w:ascii="Tahoma" w:hAnsi="Tahoma"/>
      <w:color w:val="auto"/>
      <w:sz w:val="22"/>
      <w:szCs w:val="24"/>
      <w:lang w:bidi="ar-SA"/>
    </w:rPr>
  </w:style>
  <w:style w:type="paragraph" w:customStyle="1" w:styleId="CharCharCharChar">
    <w:name w:val="Char Char תו Char Char תו"/>
    <w:basedOn w:val="Normal"/>
    <w:rsid w:val="00952EB2"/>
    <w:pPr>
      <w:spacing w:before="240" w:after="160" w:line="240" w:lineRule="exact"/>
      <w:jc w:val="left"/>
    </w:pPr>
    <w:rPr>
      <w:rFonts w:ascii="Tahoma" w:hAnsi="Tahoma" w:cs="Tahoma"/>
      <w:color w:val="auto"/>
      <w:lang w:bidi="ar-SA"/>
    </w:rPr>
  </w:style>
  <w:style w:type="paragraph" w:customStyle="1" w:styleId="bullet1">
    <w:name w:val="bullet1"/>
    <w:basedOn w:val="Normal"/>
    <w:rsid w:val="00952EB2"/>
    <w:pPr>
      <w:tabs>
        <w:tab w:val="num" w:pos="1304"/>
      </w:tabs>
      <w:ind w:left="1304" w:hanging="510"/>
      <w:jc w:val="left"/>
    </w:pPr>
    <w:rPr>
      <w:color w:val="auto"/>
      <w:sz w:val="24"/>
      <w:szCs w:val="24"/>
    </w:rPr>
  </w:style>
  <w:style w:type="paragraph" w:customStyle="1" w:styleId="TableBlock">
    <w:name w:val="Table Block"/>
    <w:basedOn w:val="Normal"/>
    <w:rsid w:val="00952EB2"/>
    <w:pPr>
      <w:keepLines/>
      <w:widowControl w:val="0"/>
      <w:tabs>
        <w:tab w:val="left" w:pos="624"/>
        <w:tab w:val="left" w:pos="1247"/>
      </w:tabs>
      <w:autoSpaceDE w:val="0"/>
      <w:autoSpaceDN w:val="0"/>
      <w:adjustRightInd w:val="0"/>
      <w:snapToGrid w:val="0"/>
      <w:spacing w:before="102" w:line="360" w:lineRule="auto"/>
      <w:textAlignment w:val="center"/>
    </w:pPr>
    <w:rPr>
      <w:rFonts w:cs="David"/>
      <w:spacing w:val="1"/>
      <w:sz w:val="20"/>
      <w:szCs w:val="26"/>
      <w:lang w:eastAsia="ja-JP"/>
    </w:rPr>
  </w:style>
  <w:style w:type="paragraph" w:customStyle="1" w:styleId="ab">
    <w:name w:val="תו תו תו תו"/>
    <w:basedOn w:val="Normal"/>
    <w:rsid w:val="00952EB2"/>
    <w:pPr>
      <w:spacing w:after="160" w:line="240" w:lineRule="exact"/>
      <w:jc w:val="left"/>
    </w:pPr>
    <w:rPr>
      <w:rFonts w:ascii="Tahoma" w:hAnsi="Tahoma" w:cs="Times New Roman"/>
      <w:color w:val="auto"/>
      <w:sz w:val="20"/>
      <w:lang w:bidi="ar-SA"/>
    </w:rPr>
  </w:style>
  <w:style w:type="paragraph" w:customStyle="1" w:styleId="ListParagraph1">
    <w:name w:val="List Paragraph1"/>
    <w:basedOn w:val="Normal"/>
    <w:uiPriority w:val="99"/>
    <w:qFormat/>
    <w:rsid w:val="00952EB2"/>
    <w:pPr>
      <w:ind w:left="720"/>
      <w:contextualSpacing/>
    </w:pPr>
    <w:rPr>
      <w:rFonts w:eastAsia="Calibri"/>
    </w:rPr>
  </w:style>
  <w:style w:type="paragraph" w:styleId="ListParagraph">
    <w:name w:val="List Paragraph"/>
    <w:aliases w:val="end,פיסקת רשימה שלי"/>
    <w:basedOn w:val="Normal"/>
    <w:link w:val="ListParagraphChar"/>
    <w:uiPriority w:val="34"/>
    <w:qFormat/>
    <w:rsid w:val="00952EB2"/>
    <w:pPr>
      <w:ind w:left="720"/>
    </w:pPr>
  </w:style>
  <w:style w:type="character" w:styleId="Hyperlink">
    <w:name w:val="Hyperlink"/>
    <w:uiPriority w:val="99"/>
    <w:rsid w:val="00952EB2"/>
    <w:rPr>
      <w:color w:val="0000FF"/>
      <w:u w:val="single"/>
    </w:rPr>
  </w:style>
  <w:style w:type="paragraph" w:customStyle="1" w:styleId="13">
    <w:name w:val="פיסקת רשימה1"/>
    <w:basedOn w:val="Normal"/>
    <w:uiPriority w:val="34"/>
    <w:rsid w:val="00952EB2"/>
    <w:pPr>
      <w:ind w:left="720"/>
      <w:contextualSpacing/>
    </w:pPr>
    <w:rPr>
      <w:rFonts w:eastAsia="Calibri"/>
    </w:rPr>
  </w:style>
  <w:style w:type="character" w:styleId="CommentReference">
    <w:name w:val="annotation reference"/>
    <w:basedOn w:val="DefaultParagraphFont"/>
    <w:uiPriority w:val="99"/>
    <w:unhideWhenUsed/>
    <w:rsid w:val="006A4003"/>
    <w:rPr>
      <w:sz w:val="16"/>
      <w:szCs w:val="16"/>
    </w:rPr>
  </w:style>
  <w:style w:type="paragraph" w:styleId="CommentText">
    <w:name w:val="annotation text"/>
    <w:basedOn w:val="Normal"/>
    <w:link w:val="CommentTextChar"/>
    <w:uiPriority w:val="99"/>
    <w:unhideWhenUsed/>
    <w:rsid w:val="006A4003"/>
    <w:rPr>
      <w:sz w:val="20"/>
    </w:rPr>
  </w:style>
  <w:style w:type="character" w:customStyle="1" w:styleId="CommentTextChar">
    <w:name w:val="Comment Text Char"/>
    <w:basedOn w:val="DefaultParagraphFont"/>
    <w:link w:val="CommentText"/>
    <w:uiPriority w:val="99"/>
    <w:rsid w:val="006A4003"/>
    <w:rPr>
      <w:rFonts w:ascii="Arial" w:eastAsia="Times New Roman" w:hAnsi="Arial" w:cs="Arial"/>
      <w:color w:val="000000"/>
      <w:sz w:val="20"/>
      <w:szCs w:val="20"/>
    </w:rPr>
  </w:style>
  <w:style w:type="paragraph" w:styleId="CommentSubject">
    <w:name w:val="annotation subject"/>
    <w:basedOn w:val="CommentText"/>
    <w:next w:val="CommentText"/>
    <w:link w:val="CommentSubjectChar"/>
    <w:uiPriority w:val="99"/>
    <w:unhideWhenUsed/>
    <w:rsid w:val="006A4003"/>
    <w:rPr>
      <w:b/>
      <w:bCs/>
    </w:rPr>
  </w:style>
  <w:style w:type="character" w:customStyle="1" w:styleId="CommentSubjectChar">
    <w:name w:val="Comment Subject Char"/>
    <w:basedOn w:val="CommentTextChar"/>
    <w:link w:val="CommentSubject"/>
    <w:uiPriority w:val="99"/>
    <w:rsid w:val="006A4003"/>
    <w:rPr>
      <w:rFonts w:ascii="Arial" w:eastAsia="Times New Roman" w:hAnsi="Arial" w:cs="Arial"/>
      <w:b/>
      <w:bCs/>
      <w:color w:val="000000"/>
      <w:sz w:val="20"/>
      <w:szCs w:val="20"/>
    </w:rPr>
  </w:style>
  <w:style w:type="paragraph" w:customStyle="1" w:styleId="ac">
    <w:name w:val="תו תו תו תו תו תו תו תו תו תו תו תו תו תו תו תו תו תו תו תו תו תו תו תו תו תו תו תו תו תו תו תו"/>
    <w:basedOn w:val="Normal"/>
    <w:next w:val="Normal"/>
    <w:autoRedefine/>
    <w:rsid w:val="004269E3"/>
    <w:pPr>
      <w:spacing w:after="160" w:line="240" w:lineRule="exact"/>
      <w:jc w:val="right"/>
    </w:pPr>
    <w:rPr>
      <w:rFonts w:ascii="Tahoma" w:hAnsi="Tahoma"/>
      <w:color w:val="auto"/>
      <w:sz w:val="22"/>
      <w:szCs w:val="24"/>
      <w:lang w:bidi="ar-SA"/>
    </w:rPr>
  </w:style>
  <w:style w:type="paragraph" w:styleId="TOCHeading">
    <w:name w:val="TOC Heading"/>
    <w:basedOn w:val="Heading1"/>
    <w:next w:val="Normal"/>
    <w:uiPriority w:val="39"/>
    <w:unhideWhenUsed/>
    <w:qFormat/>
    <w:rsid w:val="00731FE1"/>
    <w:pPr>
      <w:keepLines/>
      <w:spacing w:before="240" w:line="259" w:lineRule="auto"/>
      <w:outlineLvl w:val="9"/>
    </w:pPr>
    <w:rPr>
      <w:rFonts w:asciiTheme="majorHAnsi" w:eastAsiaTheme="majorEastAsia" w:hAnsiTheme="majorHAnsi" w:cstheme="majorBidi"/>
      <w:bCs w:val="0"/>
      <w:color w:val="2E74B5" w:themeColor="accent1" w:themeShade="BF"/>
      <w:sz w:val="32"/>
      <w:szCs w:val="32"/>
      <w:lang w:bidi="ar-SA"/>
    </w:rPr>
  </w:style>
  <w:style w:type="paragraph" w:styleId="TOC2">
    <w:name w:val="toc 2"/>
    <w:basedOn w:val="Normal"/>
    <w:next w:val="Normal"/>
    <w:autoRedefine/>
    <w:uiPriority w:val="39"/>
    <w:unhideWhenUsed/>
    <w:qFormat/>
    <w:rsid w:val="005B17B0"/>
    <w:pPr>
      <w:pBdr>
        <w:top w:val="single" w:sz="8" w:space="1" w:color="FFFFFF" w:themeColor="background1"/>
        <w:bottom w:val="single" w:sz="8" w:space="1" w:color="FFFFFF" w:themeColor="background1"/>
        <w:between w:val="single" w:sz="8" w:space="1" w:color="FFFFFF" w:themeColor="background1"/>
      </w:pBdr>
      <w:shd w:val="clear" w:color="auto" w:fill="D9D9D9" w:themeFill="background1" w:themeFillShade="D9"/>
      <w:tabs>
        <w:tab w:val="right" w:pos="9582"/>
      </w:tabs>
      <w:spacing w:line="264" w:lineRule="auto"/>
      <w:jc w:val="left"/>
    </w:pPr>
    <w:rPr>
      <w:rFonts w:eastAsiaTheme="minorEastAsia"/>
      <w:noProof/>
      <w:color w:val="auto"/>
      <w:szCs w:val="18"/>
      <w:lang w:bidi="ar-SA"/>
    </w:rPr>
  </w:style>
  <w:style w:type="paragraph" w:styleId="TOC1">
    <w:name w:val="toc 1"/>
    <w:basedOn w:val="a2"/>
    <w:next w:val="Normal"/>
    <w:link w:val="TOC1Char"/>
    <w:autoRedefine/>
    <w:uiPriority w:val="39"/>
    <w:unhideWhenUsed/>
    <w:qFormat/>
    <w:rsid w:val="009045B2"/>
    <w:pPr>
      <w:tabs>
        <w:tab w:val="clear" w:pos="954"/>
        <w:tab w:val="clear" w:pos="4340"/>
        <w:tab w:val="clear" w:pos="5820"/>
        <w:tab w:val="clear" w:pos="7220"/>
        <w:tab w:val="clear" w:pos="8220"/>
        <w:tab w:val="clear" w:pos="9240"/>
        <w:tab w:val="right" w:leader="dot" w:pos="9289"/>
      </w:tabs>
      <w:spacing w:before="40" w:line="40" w:lineRule="atLeast"/>
      <w:jc w:val="left"/>
    </w:pPr>
    <w:rPr>
      <w:rFonts w:asciiTheme="minorBidi" w:eastAsiaTheme="minorEastAsia" w:hAnsiTheme="minorBidi" w:cstheme="minorBidi"/>
      <w:noProof/>
      <w:color w:val="auto"/>
      <w:sz w:val="20"/>
    </w:rPr>
  </w:style>
  <w:style w:type="paragraph" w:styleId="TOC3">
    <w:name w:val="toc 3"/>
    <w:basedOn w:val="Normal"/>
    <w:next w:val="Normal"/>
    <w:autoRedefine/>
    <w:uiPriority w:val="39"/>
    <w:unhideWhenUsed/>
    <w:qFormat/>
    <w:rsid w:val="00127E3A"/>
    <w:pPr>
      <w:shd w:val="clear" w:color="auto" w:fill="D9D9D9" w:themeFill="background1" w:themeFillShade="D9"/>
      <w:tabs>
        <w:tab w:val="left" w:pos="363"/>
        <w:tab w:val="right" w:pos="9582"/>
      </w:tabs>
      <w:spacing w:line="240" w:lineRule="exact"/>
    </w:pPr>
    <w:rPr>
      <w:rFonts w:eastAsiaTheme="minorEastAsia"/>
      <w:noProof/>
      <w:color w:val="auto"/>
      <w:szCs w:val="18"/>
      <w:lang w:bidi="ar-SA"/>
    </w:rPr>
  </w:style>
  <w:style w:type="paragraph" w:styleId="TOC4">
    <w:name w:val="toc 4"/>
    <w:basedOn w:val="Normal"/>
    <w:next w:val="Normal"/>
    <w:autoRedefine/>
    <w:uiPriority w:val="39"/>
    <w:unhideWhenUsed/>
    <w:rsid w:val="00731FE1"/>
    <w:pPr>
      <w:spacing w:after="100" w:line="259" w:lineRule="auto"/>
      <w:ind w:left="660"/>
      <w:jc w:val="left"/>
    </w:pPr>
    <w:rPr>
      <w:rFonts w:asciiTheme="minorHAnsi" w:eastAsiaTheme="minorEastAsia" w:hAnsiTheme="minorHAnsi" w:cstheme="minorBidi"/>
      <w:color w:val="auto"/>
      <w:sz w:val="22"/>
      <w:szCs w:val="22"/>
    </w:rPr>
  </w:style>
  <w:style w:type="paragraph" w:styleId="TOC5">
    <w:name w:val="toc 5"/>
    <w:basedOn w:val="Normal"/>
    <w:next w:val="Normal"/>
    <w:autoRedefine/>
    <w:uiPriority w:val="39"/>
    <w:unhideWhenUsed/>
    <w:rsid w:val="00731FE1"/>
    <w:pPr>
      <w:spacing w:after="100" w:line="259" w:lineRule="auto"/>
      <w:ind w:left="880"/>
      <w:jc w:val="left"/>
    </w:pPr>
    <w:rPr>
      <w:rFonts w:asciiTheme="minorHAnsi" w:eastAsiaTheme="minorEastAsia" w:hAnsiTheme="minorHAnsi" w:cstheme="minorBidi"/>
      <w:color w:val="auto"/>
      <w:sz w:val="22"/>
      <w:szCs w:val="22"/>
    </w:rPr>
  </w:style>
  <w:style w:type="paragraph" w:styleId="TOC6">
    <w:name w:val="toc 6"/>
    <w:basedOn w:val="Normal"/>
    <w:next w:val="Normal"/>
    <w:autoRedefine/>
    <w:uiPriority w:val="39"/>
    <w:unhideWhenUsed/>
    <w:rsid w:val="00731FE1"/>
    <w:pPr>
      <w:spacing w:after="100" w:line="259" w:lineRule="auto"/>
      <w:ind w:left="1100"/>
      <w:jc w:val="left"/>
    </w:pPr>
    <w:rPr>
      <w:rFonts w:asciiTheme="minorHAnsi" w:eastAsiaTheme="minorEastAsia" w:hAnsiTheme="minorHAnsi" w:cstheme="minorBidi"/>
      <w:color w:val="auto"/>
      <w:sz w:val="22"/>
      <w:szCs w:val="22"/>
    </w:rPr>
  </w:style>
  <w:style w:type="paragraph" w:styleId="TOC7">
    <w:name w:val="toc 7"/>
    <w:basedOn w:val="Normal"/>
    <w:next w:val="Normal"/>
    <w:autoRedefine/>
    <w:uiPriority w:val="39"/>
    <w:unhideWhenUsed/>
    <w:rsid w:val="00766CAB"/>
    <w:pPr>
      <w:spacing w:after="100" w:line="259" w:lineRule="auto"/>
      <w:ind w:left="7200"/>
      <w:jc w:val="right"/>
    </w:pPr>
    <w:rPr>
      <w:rFonts w:asciiTheme="minorHAnsi" w:eastAsiaTheme="minorEastAsia" w:hAnsiTheme="minorHAnsi" w:cstheme="minorBidi"/>
      <w:color w:val="auto"/>
      <w:sz w:val="22"/>
      <w:szCs w:val="22"/>
    </w:rPr>
  </w:style>
  <w:style w:type="paragraph" w:styleId="TOC8">
    <w:name w:val="toc 8"/>
    <w:basedOn w:val="Normal"/>
    <w:next w:val="Normal"/>
    <w:autoRedefine/>
    <w:uiPriority w:val="39"/>
    <w:unhideWhenUsed/>
    <w:rsid w:val="00731FE1"/>
    <w:pPr>
      <w:spacing w:after="100" w:line="259" w:lineRule="auto"/>
      <w:ind w:left="1540"/>
      <w:jc w:val="left"/>
    </w:pPr>
    <w:rPr>
      <w:rFonts w:asciiTheme="minorHAnsi" w:eastAsiaTheme="minorEastAsia" w:hAnsiTheme="minorHAnsi" w:cstheme="minorBidi"/>
      <w:color w:val="auto"/>
      <w:sz w:val="22"/>
      <w:szCs w:val="22"/>
    </w:rPr>
  </w:style>
  <w:style w:type="paragraph" w:styleId="TOC9">
    <w:name w:val="toc 9"/>
    <w:basedOn w:val="Normal"/>
    <w:next w:val="Normal"/>
    <w:autoRedefine/>
    <w:uiPriority w:val="39"/>
    <w:unhideWhenUsed/>
    <w:rsid w:val="00731FE1"/>
    <w:pPr>
      <w:spacing w:after="100" w:line="259" w:lineRule="auto"/>
      <w:ind w:left="1760"/>
      <w:jc w:val="left"/>
    </w:pPr>
    <w:rPr>
      <w:rFonts w:asciiTheme="minorHAnsi" w:eastAsiaTheme="minorEastAsia" w:hAnsiTheme="minorHAnsi" w:cstheme="minorBidi"/>
      <w:color w:val="auto"/>
      <w:sz w:val="22"/>
      <w:szCs w:val="22"/>
    </w:rPr>
  </w:style>
  <w:style w:type="character" w:customStyle="1" w:styleId="a3">
    <w:name w:val="כותרת טבלה תו"/>
    <w:basedOn w:val="DefaultParagraphFont"/>
    <w:link w:val="a2"/>
    <w:uiPriority w:val="99"/>
    <w:rsid w:val="002A2AAC"/>
    <w:rPr>
      <w:rFonts w:ascii="Arial" w:eastAsia="Times New Roman" w:hAnsi="Arial" w:cs="Arial"/>
      <w:b/>
      <w:bCs/>
      <w:snapToGrid w:val="0"/>
      <w:color w:val="000000"/>
      <w:sz w:val="24"/>
      <w:szCs w:val="20"/>
    </w:rPr>
  </w:style>
  <w:style w:type="character" w:customStyle="1" w:styleId="TOC1Char">
    <w:name w:val="TOC 1 Char"/>
    <w:basedOn w:val="a3"/>
    <w:link w:val="TOC1"/>
    <w:uiPriority w:val="39"/>
    <w:rsid w:val="009045B2"/>
    <w:rPr>
      <w:rFonts w:asciiTheme="minorBidi" w:eastAsiaTheme="minorEastAsia" w:hAnsiTheme="minorBidi" w:cs="Arial"/>
      <w:b/>
      <w:bCs/>
      <w:noProof/>
      <w:snapToGrid w:val="0"/>
      <w:color w:val="000000"/>
      <w:sz w:val="20"/>
      <w:szCs w:val="20"/>
    </w:rPr>
  </w:style>
  <w:style w:type="character" w:styleId="IntenseReference">
    <w:name w:val="Intense Reference"/>
    <w:basedOn w:val="DefaultParagraphFont"/>
    <w:uiPriority w:val="32"/>
    <w:qFormat/>
    <w:rsid w:val="007A5D52"/>
    <w:rPr>
      <w:b/>
      <w:bCs/>
      <w:smallCaps/>
      <w:color w:val="5B9BD5" w:themeColor="accent1"/>
      <w:spacing w:val="5"/>
    </w:rPr>
  </w:style>
  <w:style w:type="paragraph" w:customStyle="1" w:styleId="3-">
    <w:name w:val="3- חדש"/>
    <w:basedOn w:val="Normal"/>
    <w:link w:val="3-0"/>
    <w:rsid w:val="005958ED"/>
    <w:pPr>
      <w:tabs>
        <w:tab w:val="left" w:pos="930"/>
      </w:tabs>
      <w:spacing w:line="340" w:lineRule="exact"/>
    </w:pPr>
    <w:rPr>
      <w:b/>
      <w:bCs/>
      <w:color w:val="FF6600"/>
      <w:sz w:val="22"/>
      <w:szCs w:val="22"/>
    </w:rPr>
  </w:style>
  <w:style w:type="character" w:customStyle="1" w:styleId="3-0">
    <w:name w:val="3- חדש תו"/>
    <w:basedOn w:val="DefaultParagraphFont"/>
    <w:link w:val="3-"/>
    <w:rsid w:val="005958ED"/>
    <w:rPr>
      <w:rFonts w:ascii="Arial" w:eastAsia="Times New Roman" w:hAnsi="Arial" w:cs="Arial"/>
      <w:b/>
      <w:bCs/>
      <w:color w:val="FF6600"/>
    </w:rPr>
  </w:style>
  <w:style w:type="paragraph" w:customStyle="1" w:styleId="ad">
    <w:name w:val="הפניות ידניות"/>
    <w:basedOn w:val="ListParagraph"/>
    <w:link w:val="ae"/>
    <w:rsid w:val="00C85FF1"/>
    <w:pPr>
      <w:tabs>
        <w:tab w:val="left" w:pos="363"/>
      </w:tabs>
      <w:spacing w:line="220" w:lineRule="exact"/>
      <w:ind w:left="0"/>
      <w:contextualSpacing/>
      <w:jc w:val="left"/>
    </w:pPr>
    <w:rPr>
      <w:rFonts w:asciiTheme="minorHAnsi" w:eastAsiaTheme="minorHAnsi" w:hAnsiTheme="minorHAnsi" w:cstheme="minorBidi"/>
      <w:color w:val="auto"/>
      <w:sz w:val="16"/>
      <w:szCs w:val="16"/>
    </w:rPr>
  </w:style>
  <w:style w:type="character" w:customStyle="1" w:styleId="ae">
    <w:name w:val="הפניות ידניות תו"/>
    <w:basedOn w:val="DefaultParagraphFont"/>
    <w:link w:val="ad"/>
    <w:rsid w:val="00C85FF1"/>
    <w:rPr>
      <w:sz w:val="16"/>
      <w:szCs w:val="16"/>
    </w:rPr>
  </w:style>
  <w:style w:type="paragraph" w:customStyle="1" w:styleId="-0">
    <w:name w:val="מקו -"/>
    <w:basedOn w:val="Normal"/>
    <w:link w:val="-1"/>
    <w:rsid w:val="0039328C"/>
    <w:pPr>
      <w:spacing w:line="340" w:lineRule="exact"/>
      <w:ind w:right="570"/>
    </w:pPr>
    <w:rPr>
      <w:spacing w:val="-4"/>
      <w:sz w:val="16"/>
      <w:szCs w:val="18"/>
    </w:rPr>
  </w:style>
  <w:style w:type="character" w:customStyle="1" w:styleId="-1">
    <w:name w:val="מקו - תו"/>
    <w:basedOn w:val="DefaultParagraphFont"/>
    <w:link w:val="-0"/>
    <w:rsid w:val="0039328C"/>
    <w:rPr>
      <w:rFonts w:ascii="Arial" w:eastAsia="Times New Roman" w:hAnsi="Arial" w:cs="Arial"/>
      <w:color w:val="000000"/>
      <w:spacing w:val="-4"/>
      <w:sz w:val="16"/>
      <w:szCs w:val="18"/>
    </w:rPr>
  </w:style>
  <w:style w:type="character" w:customStyle="1" w:styleId="ListParagraphChar">
    <w:name w:val="List Paragraph Char"/>
    <w:aliases w:val="end Char,פיסקת רשימה שלי Char"/>
    <w:basedOn w:val="DefaultParagraphFont"/>
    <w:link w:val="ListParagraph"/>
    <w:uiPriority w:val="34"/>
    <w:locked/>
    <w:rsid w:val="00A944B2"/>
    <w:rPr>
      <w:rFonts w:ascii="Arial" w:eastAsia="Times New Roman" w:hAnsi="Arial" w:cs="Arial"/>
      <w:color w:val="000000"/>
      <w:sz w:val="18"/>
      <w:szCs w:val="20"/>
    </w:rPr>
  </w:style>
  <w:style w:type="table" w:customStyle="1" w:styleId="-11">
    <w:name w:val="רשת בהירה - הדגשה 11"/>
    <w:uiPriority w:val="99"/>
    <w:rsid w:val="005B42AD"/>
    <w:pPr>
      <w:spacing w:after="0" w:line="240" w:lineRule="auto"/>
    </w:pPr>
    <w:rPr>
      <w:rFonts w:ascii="Calibri" w:eastAsia="Calibri" w:hAnsi="Calibri" w:cs="Arial"/>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paragraph" w:customStyle="1" w:styleId="af">
    <w:name w:val="תו תו תו תו תו תו תו תו תו תו תו תו תו תו תו תו תו תו תו תו תו תו תו תו תו תו תו תו תו תו תו תו"/>
    <w:basedOn w:val="Normal"/>
    <w:next w:val="Normal"/>
    <w:autoRedefine/>
    <w:uiPriority w:val="99"/>
    <w:rsid w:val="00DD0B58"/>
    <w:pPr>
      <w:spacing w:after="160" w:line="240" w:lineRule="exact"/>
      <w:jc w:val="right"/>
    </w:pPr>
    <w:rPr>
      <w:rFonts w:ascii="Tahoma" w:hAnsi="Tahoma"/>
      <w:color w:val="auto"/>
      <w:sz w:val="22"/>
      <w:szCs w:val="24"/>
      <w:lang w:bidi="ar-SA"/>
    </w:rPr>
  </w:style>
  <w:style w:type="paragraph" w:styleId="Revision">
    <w:name w:val="Revision"/>
    <w:hidden/>
    <w:uiPriority w:val="99"/>
    <w:semiHidden/>
    <w:rsid w:val="006C130E"/>
    <w:pPr>
      <w:spacing w:after="0" w:line="240" w:lineRule="auto"/>
    </w:pPr>
    <w:rPr>
      <w:rFonts w:ascii="Arial" w:eastAsia="Times New Roman" w:hAnsi="Arial" w:cs="Arial"/>
      <w:color w:val="000000"/>
      <w:sz w:val="18"/>
      <w:szCs w:val="20"/>
    </w:rPr>
  </w:style>
  <w:style w:type="paragraph" w:customStyle="1" w:styleId="2-">
    <w:name w:val="2 - חדש"/>
    <w:basedOn w:val="Normal"/>
    <w:link w:val="2-0"/>
    <w:rsid w:val="001F0840"/>
    <w:pPr>
      <w:spacing w:line="340" w:lineRule="exact"/>
      <w:jc w:val="left"/>
    </w:pPr>
    <w:rPr>
      <w:b/>
      <w:bCs/>
      <w:color w:val="FF6600"/>
      <w:sz w:val="24"/>
      <w:szCs w:val="24"/>
    </w:rPr>
  </w:style>
  <w:style w:type="character" w:customStyle="1" w:styleId="2-0">
    <w:name w:val="2 - חדש תו"/>
    <w:basedOn w:val="DefaultParagraphFont"/>
    <w:link w:val="2-"/>
    <w:rsid w:val="001F0840"/>
    <w:rPr>
      <w:rFonts w:ascii="Arial" w:eastAsia="Times New Roman" w:hAnsi="Arial" w:cs="Arial"/>
      <w:b/>
      <w:bCs/>
      <w:color w:val="FF6600"/>
      <w:sz w:val="24"/>
      <w:szCs w:val="24"/>
    </w:rPr>
  </w:style>
  <w:style w:type="paragraph" w:customStyle="1" w:styleId="12-">
    <w:name w:val="12 - חדש לפחות"/>
    <w:basedOn w:val="Heading1"/>
    <w:rsid w:val="00C94C45"/>
    <w:pPr>
      <w:spacing w:after="0"/>
    </w:pPr>
  </w:style>
  <w:style w:type="paragraph" w:customStyle="1" w:styleId="2-2">
    <w:name w:val="כותרת 2 - לפחות 2"/>
    <w:basedOn w:val="Normal"/>
    <w:autoRedefine/>
    <w:rsid w:val="00B17964"/>
    <w:pPr>
      <w:spacing w:before="120" w:after="80" w:line="40" w:lineRule="atLeast"/>
    </w:pPr>
    <w:rPr>
      <w:b/>
      <w:bCs/>
      <w:sz w:val="22"/>
      <w:szCs w:val="22"/>
    </w:rPr>
  </w:style>
  <w:style w:type="table" w:customStyle="1" w:styleId="4">
    <w:name w:val="טבלת רשת4"/>
    <w:basedOn w:val="TableNormal"/>
    <w:next w:val="TableGrid"/>
    <w:uiPriority w:val="59"/>
    <w:rsid w:val="00C72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Normal"/>
    <w:next w:val="Normal"/>
    <w:autoRedefine/>
    <w:uiPriority w:val="99"/>
    <w:unhideWhenUsed/>
    <w:rsid w:val="00981C32"/>
    <w:pPr>
      <w:ind w:left="180" w:hanging="180"/>
      <w:jc w:val="left"/>
    </w:pPr>
    <w:rPr>
      <w:rFonts w:asciiTheme="minorHAnsi" w:hAnsiTheme="minorHAnsi" w:cs="Times New Roman"/>
      <w:szCs w:val="18"/>
    </w:rPr>
  </w:style>
  <w:style w:type="paragraph" w:styleId="Index2">
    <w:name w:val="index 2"/>
    <w:basedOn w:val="Normal"/>
    <w:next w:val="Normal"/>
    <w:autoRedefine/>
    <w:uiPriority w:val="99"/>
    <w:unhideWhenUsed/>
    <w:rsid w:val="007D1F37"/>
    <w:pPr>
      <w:ind w:left="360" w:hanging="180"/>
      <w:jc w:val="left"/>
    </w:pPr>
    <w:rPr>
      <w:rFonts w:asciiTheme="minorHAnsi" w:hAnsiTheme="minorHAnsi" w:cs="Times New Roman"/>
      <w:szCs w:val="18"/>
    </w:rPr>
  </w:style>
  <w:style w:type="paragraph" w:styleId="Index3">
    <w:name w:val="index 3"/>
    <w:basedOn w:val="Normal"/>
    <w:next w:val="Normal"/>
    <w:autoRedefine/>
    <w:uiPriority w:val="99"/>
    <w:unhideWhenUsed/>
    <w:rsid w:val="007D1F37"/>
    <w:pPr>
      <w:ind w:left="540" w:hanging="180"/>
      <w:jc w:val="left"/>
    </w:pPr>
    <w:rPr>
      <w:rFonts w:asciiTheme="minorHAnsi" w:hAnsiTheme="minorHAnsi" w:cs="Times New Roman"/>
      <w:szCs w:val="18"/>
    </w:rPr>
  </w:style>
  <w:style w:type="paragraph" w:styleId="Index4">
    <w:name w:val="index 4"/>
    <w:basedOn w:val="Normal"/>
    <w:next w:val="Normal"/>
    <w:autoRedefine/>
    <w:uiPriority w:val="99"/>
    <w:unhideWhenUsed/>
    <w:rsid w:val="007D1F37"/>
    <w:pPr>
      <w:ind w:left="720" w:hanging="180"/>
      <w:jc w:val="left"/>
    </w:pPr>
    <w:rPr>
      <w:rFonts w:asciiTheme="minorHAnsi" w:hAnsiTheme="minorHAnsi" w:cs="Times New Roman"/>
      <w:szCs w:val="18"/>
    </w:rPr>
  </w:style>
  <w:style w:type="paragraph" w:styleId="Index5">
    <w:name w:val="index 5"/>
    <w:basedOn w:val="Normal"/>
    <w:next w:val="Normal"/>
    <w:autoRedefine/>
    <w:uiPriority w:val="99"/>
    <w:unhideWhenUsed/>
    <w:rsid w:val="007D1F37"/>
    <w:pPr>
      <w:ind w:left="900" w:hanging="180"/>
      <w:jc w:val="left"/>
    </w:pPr>
    <w:rPr>
      <w:rFonts w:asciiTheme="minorHAnsi" w:hAnsiTheme="minorHAnsi" w:cs="Times New Roman"/>
      <w:szCs w:val="18"/>
    </w:rPr>
  </w:style>
  <w:style w:type="paragraph" w:styleId="Index6">
    <w:name w:val="index 6"/>
    <w:basedOn w:val="Normal"/>
    <w:next w:val="Normal"/>
    <w:autoRedefine/>
    <w:uiPriority w:val="99"/>
    <w:unhideWhenUsed/>
    <w:rsid w:val="007D1F37"/>
    <w:pPr>
      <w:ind w:left="1080" w:hanging="180"/>
      <w:jc w:val="left"/>
    </w:pPr>
    <w:rPr>
      <w:rFonts w:asciiTheme="minorHAnsi" w:hAnsiTheme="minorHAnsi" w:cs="Times New Roman"/>
      <w:szCs w:val="18"/>
    </w:rPr>
  </w:style>
  <w:style w:type="paragraph" w:styleId="Index7">
    <w:name w:val="index 7"/>
    <w:basedOn w:val="Normal"/>
    <w:next w:val="Normal"/>
    <w:autoRedefine/>
    <w:uiPriority w:val="99"/>
    <w:unhideWhenUsed/>
    <w:rsid w:val="007D1F37"/>
    <w:pPr>
      <w:ind w:left="1260" w:hanging="180"/>
      <w:jc w:val="left"/>
    </w:pPr>
    <w:rPr>
      <w:rFonts w:asciiTheme="minorHAnsi" w:hAnsiTheme="minorHAnsi" w:cs="Times New Roman"/>
      <w:szCs w:val="18"/>
    </w:rPr>
  </w:style>
  <w:style w:type="paragraph" w:styleId="Index8">
    <w:name w:val="index 8"/>
    <w:basedOn w:val="Normal"/>
    <w:next w:val="Normal"/>
    <w:autoRedefine/>
    <w:uiPriority w:val="99"/>
    <w:unhideWhenUsed/>
    <w:rsid w:val="007D1F37"/>
    <w:pPr>
      <w:ind w:left="1440" w:hanging="180"/>
      <w:jc w:val="left"/>
    </w:pPr>
    <w:rPr>
      <w:rFonts w:asciiTheme="minorHAnsi" w:hAnsiTheme="minorHAnsi" w:cs="Times New Roman"/>
      <w:szCs w:val="18"/>
    </w:rPr>
  </w:style>
  <w:style w:type="paragraph" w:styleId="Index9">
    <w:name w:val="index 9"/>
    <w:basedOn w:val="Normal"/>
    <w:next w:val="Normal"/>
    <w:autoRedefine/>
    <w:uiPriority w:val="99"/>
    <w:unhideWhenUsed/>
    <w:rsid w:val="007D1F37"/>
    <w:pPr>
      <w:ind w:left="1620" w:hanging="180"/>
      <w:jc w:val="left"/>
    </w:pPr>
    <w:rPr>
      <w:rFonts w:asciiTheme="minorHAnsi" w:hAnsiTheme="minorHAnsi" w:cs="Times New Roman"/>
      <w:szCs w:val="18"/>
    </w:rPr>
  </w:style>
  <w:style w:type="paragraph" w:styleId="IndexHeading">
    <w:name w:val="index heading"/>
    <w:basedOn w:val="Normal"/>
    <w:next w:val="Index1"/>
    <w:uiPriority w:val="99"/>
    <w:unhideWhenUsed/>
    <w:rsid w:val="007D1F37"/>
    <w:pPr>
      <w:spacing w:before="240" w:after="120"/>
      <w:ind w:left="140"/>
      <w:jc w:val="left"/>
    </w:pPr>
    <w:rPr>
      <w:rFonts w:asciiTheme="majorHAnsi" w:hAnsiTheme="majorHAnsi" w:cs="Times New Roman"/>
      <w:b/>
      <w:bCs/>
      <w:sz w:val="28"/>
      <w:szCs w:val="28"/>
    </w:rPr>
  </w:style>
  <w:style w:type="paragraph" w:styleId="NoSpacing">
    <w:name w:val="No Spacing"/>
    <w:uiPriority w:val="1"/>
    <w:qFormat/>
    <w:rsid w:val="00B04CB7"/>
    <w:pPr>
      <w:spacing w:after="0" w:line="240" w:lineRule="auto"/>
      <w:jc w:val="both"/>
    </w:pPr>
    <w:rPr>
      <w:rFonts w:ascii="Arial" w:eastAsia="Times New Roman" w:hAnsi="Arial" w:cs="Arial"/>
      <w:color w:val="000000"/>
      <w:sz w:val="18"/>
      <w:szCs w:val="20"/>
    </w:rPr>
  </w:style>
  <w:style w:type="numbering" w:customStyle="1" w:styleId="14">
    <w:name w:val="ללא רשימה1"/>
    <w:next w:val="NoList"/>
    <w:semiHidden/>
    <w:rsid w:val="00672A56"/>
  </w:style>
  <w:style w:type="paragraph" w:customStyle="1" w:styleId="af0">
    <w:name w:val="סגנון"/>
    <w:basedOn w:val="Normal"/>
    <w:rsid w:val="00672A56"/>
    <w:pPr>
      <w:spacing w:after="160" w:line="240" w:lineRule="exact"/>
      <w:jc w:val="left"/>
    </w:pPr>
    <w:rPr>
      <w:rFonts w:ascii="Tahoma" w:hAnsi="Tahoma" w:cs="Times New Roman"/>
      <w:color w:val="auto"/>
      <w:sz w:val="20"/>
      <w:lang w:bidi="ar-SA"/>
    </w:rPr>
  </w:style>
  <w:style w:type="paragraph" w:customStyle="1" w:styleId="130">
    <w:name w:val="13"/>
    <w:rsid w:val="00672A56"/>
    <w:pPr>
      <w:widowControl w:val="0"/>
      <w:spacing w:after="0" w:line="240" w:lineRule="auto"/>
    </w:pPr>
    <w:rPr>
      <w:rFonts w:ascii="Times New Roman" w:eastAsia="Times New Roman" w:hAnsi="Times New Roman" w:cs="Miriam"/>
      <w:sz w:val="20"/>
      <w:szCs w:val="20"/>
    </w:rPr>
  </w:style>
  <w:style w:type="paragraph" w:customStyle="1" w:styleId="6">
    <w:name w:val="תו6"/>
    <w:basedOn w:val="Normal"/>
    <w:rsid w:val="00672A56"/>
    <w:pPr>
      <w:spacing w:after="160" w:line="240" w:lineRule="exact"/>
      <w:jc w:val="left"/>
    </w:pPr>
    <w:rPr>
      <w:rFonts w:ascii="Tahoma" w:hAnsi="Tahoma" w:cs="Times New Roman"/>
      <w:color w:val="auto"/>
      <w:sz w:val="20"/>
      <w:lang w:bidi="ar-SA"/>
    </w:rPr>
  </w:style>
  <w:style w:type="paragraph" w:customStyle="1" w:styleId="Char6">
    <w:name w:val="Char6"/>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6">
    <w:name w:val="תו תו3 Char Char6"/>
    <w:basedOn w:val="Normal"/>
    <w:rsid w:val="00672A56"/>
    <w:pPr>
      <w:spacing w:after="160" w:line="240" w:lineRule="exact"/>
      <w:jc w:val="left"/>
    </w:pPr>
    <w:rPr>
      <w:rFonts w:ascii="Tahoma" w:hAnsi="Tahoma" w:cs="Times New Roman"/>
      <w:color w:val="auto"/>
      <w:lang w:bidi="ar-SA"/>
    </w:rPr>
  </w:style>
  <w:style w:type="paragraph" w:customStyle="1" w:styleId="40">
    <w:name w:val="תו תו תו תו תו תו תו תו תו תו תו תו תו תו תו תו תו תו תו תו תו תו תו תו תו תו תו תו תו תו תו תו4"/>
    <w:basedOn w:val="Normal"/>
    <w:next w:val="Normal"/>
    <w:autoRedefine/>
    <w:rsid w:val="00672A56"/>
    <w:pPr>
      <w:spacing w:after="160" w:line="240" w:lineRule="exact"/>
      <w:jc w:val="right"/>
    </w:pPr>
    <w:rPr>
      <w:rFonts w:ascii="Tahoma" w:hAnsi="Tahoma"/>
      <w:color w:val="auto"/>
      <w:sz w:val="22"/>
      <w:szCs w:val="24"/>
      <w:lang w:bidi="ar-SA"/>
    </w:rPr>
  </w:style>
  <w:style w:type="numbering" w:customStyle="1" w:styleId="22">
    <w:name w:val="ללא רשימה2"/>
    <w:next w:val="NoList"/>
    <w:semiHidden/>
    <w:rsid w:val="00672A56"/>
  </w:style>
  <w:style w:type="paragraph" w:customStyle="1" w:styleId="120">
    <w:name w:val="12"/>
    <w:rsid w:val="00672A56"/>
    <w:pPr>
      <w:widowControl w:val="0"/>
      <w:spacing w:after="0" w:line="240" w:lineRule="auto"/>
    </w:pPr>
    <w:rPr>
      <w:rFonts w:ascii="Times New Roman" w:eastAsia="Times New Roman" w:hAnsi="Times New Roman" w:cs="Miriam"/>
      <w:sz w:val="20"/>
      <w:szCs w:val="20"/>
    </w:rPr>
  </w:style>
  <w:style w:type="table" w:customStyle="1" w:styleId="31">
    <w:name w:val="רשימה בטבלה 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paragraph" w:customStyle="1" w:styleId="5">
    <w:name w:val="תו5"/>
    <w:basedOn w:val="Normal"/>
    <w:rsid w:val="00672A56"/>
    <w:pPr>
      <w:spacing w:after="160" w:line="240" w:lineRule="exact"/>
      <w:jc w:val="left"/>
    </w:pPr>
    <w:rPr>
      <w:rFonts w:ascii="Tahoma" w:hAnsi="Tahoma" w:cs="Times New Roman"/>
      <w:color w:val="auto"/>
      <w:sz w:val="20"/>
      <w:lang w:bidi="ar-SA"/>
    </w:rPr>
  </w:style>
  <w:style w:type="paragraph" w:customStyle="1" w:styleId="Char5">
    <w:name w:val="Char5"/>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5">
    <w:name w:val="תו תו3 Char Char5"/>
    <w:basedOn w:val="Normal"/>
    <w:rsid w:val="00672A56"/>
    <w:pPr>
      <w:spacing w:after="160" w:line="240" w:lineRule="exact"/>
      <w:jc w:val="left"/>
    </w:pPr>
    <w:rPr>
      <w:rFonts w:ascii="Tahoma" w:hAnsi="Tahoma" w:cs="Times New Roman"/>
      <w:color w:val="auto"/>
      <w:lang w:bidi="ar-SA"/>
    </w:rPr>
  </w:style>
  <w:style w:type="paragraph" w:customStyle="1" w:styleId="30">
    <w:name w:val="תו תו תו תו תו תו תו תו תו תו תו תו תו תו תו תו תו תו תו תו תו תו תו תו תו תו תו תו תו תו תו תו3"/>
    <w:basedOn w:val="Normal"/>
    <w:next w:val="Normal"/>
    <w:autoRedefine/>
    <w:rsid w:val="00672A56"/>
    <w:pPr>
      <w:spacing w:after="160" w:line="240" w:lineRule="exact"/>
      <w:jc w:val="right"/>
    </w:pPr>
    <w:rPr>
      <w:rFonts w:ascii="Tahoma" w:hAnsi="Tahoma"/>
      <w:color w:val="auto"/>
      <w:sz w:val="22"/>
      <w:szCs w:val="24"/>
      <w:lang w:bidi="ar-SA"/>
    </w:rPr>
  </w:style>
  <w:style w:type="numbering" w:customStyle="1" w:styleId="32">
    <w:name w:val="ללא רשימה3"/>
    <w:next w:val="NoList"/>
    <w:semiHidden/>
    <w:rsid w:val="00672A56"/>
  </w:style>
  <w:style w:type="paragraph" w:customStyle="1" w:styleId="110">
    <w:name w:val="11"/>
    <w:rsid w:val="00672A56"/>
    <w:pPr>
      <w:widowControl w:val="0"/>
      <w:spacing w:after="0" w:line="240" w:lineRule="auto"/>
    </w:pPr>
    <w:rPr>
      <w:rFonts w:ascii="Times New Roman" w:eastAsia="Times New Roman" w:hAnsi="Times New Roman" w:cs="Miriam"/>
      <w:sz w:val="20"/>
      <w:szCs w:val="20"/>
    </w:rPr>
  </w:style>
  <w:style w:type="table" w:customStyle="1" w:styleId="320">
    <w:name w:val="רשימה בטבלה 3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paragraph" w:customStyle="1" w:styleId="41">
    <w:name w:val="תו4"/>
    <w:basedOn w:val="Normal"/>
    <w:rsid w:val="00672A56"/>
    <w:pPr>
      <w:spacing w:after="160" w:line="240" w:lineRule="exact"/>
      <w:jc w:val="left"/>
    </w:pPr>
    <w:rPr>
      <w:rFonts w:ascii="Tahoma" w:hAnsi="Tahoma" w:cs="Times New Roman"/>
      <w:color w:val="auto"/>
      <w:sz w:val="20"/>
      <w:lang w:bidi="ar-SA"/>
    </w:rPr>
  </w:style>
  <w:style w:type="paragraph" w:customStyle="1" w:styleId="Char4">
    <w:name w:val="Char4"/>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4">
    <w:name w:val="תו תו3 Char Char4"/>
    <w:basedOn w:val="Normal"/>
    <w:rsid w:val="00672A56"/>
    <w:pPr>
      <w:spacing w:after="160" w:line="240" w:lineRule="exact"/>
      <w:jc w:val="left"/>
    </w:pPr>
    <w:rPr>
      <w:rFonts w:ascii="Tahoma" w:hAnsi="Tahoma" w:cs="Times New Roman"/>
      <w:color w:val="auto"/>
      <w:lang w:bidi="ar-SA"/>
    </w:rPr>
  </w:style>
  <w:style w:type="paragraph" w:customStyle="1" w:styleId="23">
    <w:name w:val="תו תו תו תו תו תו תו תו תו תו תו תו תו תו תו תו תו תו תו תו תו תו תו תו תו תו תו תו תו תו תו תו2"/>
    <w:basedOn w:val="Normal"/>
    <w:next w:val="Normal"/>
    <w:autoRedefine/>
    <w:rsid w:val="00672A56"/>
    <w:pPr>
      <w:spacing w:after="160" w:line="240" w:lineRule="exact"/>
      <w:jc w:val="right"/>
    </w:pPr>
    <w:rPr>
      <w:rFonts w:ascii="Tahoma" w:hAnsi="Tahoma"/>
      <w:color w:val="auto"/>
      <w:sz w:val="22"/>
      <w:szCs w:val="24"/>
      <w:lang w:bidi="ar-SA"/>
    </w:rPr>
  </w:style>
  <w:style w:type="paragraph" w:styleId="Subtitle">
    <w:name w:val="Subtitle"/>
    <w:basedOn w:val="Normal"/>
    <w:next w:val="Normal"/>
    <w:link w:val="SubtitleChar"/>
    <w:uiPriority w:val="99"/>
    <w:qFormat/>
    <w:rsid w:val="00672A56"/>
    <w:pPr>
      <w:numPr>
        <w:ilvl w:val="1"/>
      </w:numPr>
      <w:spacing w:after="160" w:line="264" w:lineRule="auto"/>
      <w:ind w:left="-108"/>
      <w:jc w:val="left"/>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99"/>
    <w:rsid w:val="00672A56"/>
    <w:rPr>
      <w:rFonts w:eastAsiaTheme="minorEastAsia"/>
      <w:color w:val="5A5A5A" w:themeColor="text1" w:themeTint="A5"/>
      <w:spacing w:val="15"/>
    </w:rPr>
  </w:style>
  <w:style w:type="numbering" w:customStyle="1" w:styleId="42">
    <w:name w:val="ללא רשימה4"/>
    <w:next w:val="NoList"/>
    <w:uiPriority w:val="99"/>
    <w:semiHidden/>
    <w:unhideWhenUsed/>
    <w:rsid w:val="00672A56"/>
  </w:style>
  <w:style w:type="character" w:customStyle="1" w:styleId="210">
    <w:name w:val="כותרת 2 תו1"/>
    <w:aliases w:val="כותרת 2 תו תו,s תו,Heading 2 תו1"/>
    <w:basedOn w:val="DefaultParagraphFont"/>
    <w:rsid w:val="00672A56"/>
    <w:rPr>
      <w:rFonts w:ascii="Arial" w:eastAsia="Times New Roman" w:hAnsi="Arial" w:cs="Arial"/>
      <w:bCs/>
      <w:color w:val="FF6600"/>
    </w:rPr>
  </w:style>
  <w:style w:type="table" w:customStyle="1" w:styleId="15">
    <w:name w:val="רשת טבלה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רשימה בטבלה 33"/>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3CharChar1">
    <w:name w:val="תו תו3 Char Char1"/>
    <w:basedOn w:val="Normal"/>
    <w:uiPriority w:val="99"/>
    <w:rsid w:val="00672A56"/>
    <w:pPr>
      <w:spacing w:after="160" w:line="240" w:lineRule="exact"/>
      <w:jc w:val="left"/>
    </w:pPr>
    <w:rPr>
      <w:rFonts w:ascii="Tahoma" w:hAnsi="Tahoma" w:cs="Times New Roman"/>
      <w:color w:val="auto"/>
      <w:lang w:bidi="ar-SA"/>
    </w:rPr>
  </w:style>
  <w:style w:type="paragraph" w:customStyle="1" w:styleId="Char1">
    <w:name w:val="Char1"/>
    <w:basedOn w:val="Normal"/>
    <w:next w:val="Normal"/>
    <w:autoRedefine/>
    <w:uiPriority w:val="99"/>
    <w:rsid w:val="00672A56"/>
    <w:pPr>
      <w:spacing w:after="160" w:line="240" w:lineRule="exact"/>
      <w:jc w:val="right"/>
    </w:pPr>
    <w:rPr>
      <w:rFonts w:ascii="Tahoma" w:hAnsi="Tahoma"/>
      <w:color w:val="auto"/>
      <w:sz w:val="22"/>
      <w:szCs w:val="24"/>
      <w:lang w:bidi="ar-SA"/>
    </w:rPr>
  </w:style>
  <w:style w:type="paragraph" w:customStyle="1" w:styleId="24">
    <w:name w:val="2"/>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character" w:customStyle="1" w:styleId="34">
    <w:name w:val="מא3 תו"/>
    <w:link w:val="35"/>
    <w:rsid w:val="00672A56"/>
    <w:rPr>
      <w:rFonts w:cs="Miriam"/>
      <w:lang w:eastAsia="he-IL"/>
    </w:rPr>
  </w:style>
  <w:style w:type="paragraph" w:customStyle="1" w:styleId="35">
    <w:name w:val="מא3"/>
    <w:basedOn w:val="Normal"/>
    <w:link w:val="34"/>
    <w:rsid w:val="00672A56"/>
    <w:pPr>
      <w:tabs>
        <w:tab w:val="left" w:pos="1701"/>
        <w:tab w:val="left" w:pos="2268"/>
      </w:tabs>
      <w:ind w:left="2268" w:hanging="567"/>
    </w:pPr>
    <w:rPr>
      <w:rFonts w:asciiTheme="minorHAnsi" w:eastAsiaTheme="minorHAnsi" w:hAnsiTheme="minorHAnsi" w:cs="Miriam"/>
      <w:color w:val="auto"/>
      <w:sz w:val="22"/>
      <w:szCs w:val="22"/>
      <w:lang w:eastAsia="he-IL"/>
    </w:rPr>
  </w:style>
  <w:style w:type="character" w:customStyle="1" w:styleId="ArialJoker17">
    <w:name w:val="סגנון (לטיני) Arial (מורכב) Joker ‏17 נק מודגש"/>
    <w:rsid w:val="00672A56"/>
    <w:rPr>
      <w:rFonts w:ascii="Arial" w:hAnsi="Arial" w:cs="Joker"/>
      <w:b/>
      <w:bCs/>
      <w:sz w:val="34"/>
      <w:szCs w:val="34"/>
    </w:rPr>
  </w:style>
  <w:style w:type="paragraph" w:customStyle="1" w:styleId="100">
    <w:name w:val="10"/>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paragraph" w:customStyle="1" w:styleId="9">
    <w:name w:val="9"/>
    <w:basedOn w:val="Normal"/>
    <w:next w:val="BlockText"/>
    <w:uiPriority w:val="99"/>
    <w:rsid w:val="00672A56"/>
    <w:pPr>
      <w:tabs>
        <w:tab w:val="left" w:pos="3520"/>
        <w:tab w:val="left" w:pos="5660"/>
        <w:tab w:val="left" w:pos="6580"/>
        <w:tab w:val="left" w:pos="7480"/>
        <w:tab w:val="left" w:pos="8540"/>
        <w:tab w:val="left" w:pos="9440"/>
      </w:tabs>
      <w:spacing w:line="260" w:lineRule="exact"/>
      <w:ind w:left="520" w:right="320" w:hanging="320"/>
    </w:pPr>
    <w:rPr>
      <w:rFonts w:ascii="Times New Roman" w:hAnsi="Times New Roman" w:cs="David"/>
      <w:snapToGrid w:val="0"/>
      <w:color w:val="auto"/>
      <w:sz w:val="24"/>
      <w:szCs w:val="18"/>
      <w:lang w:eastAsia="he-IL"/>
    </w:rPr>
  </w:style>
  <w:style w:type="paragraph" w:customStyle="1" w:styleId="8">
    <w:name w:val="8"/>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paragraph" w:customStyle="1" w:styleId="7">
    <w:name w:val="7"/>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paragraph" w:customStyle="1" w:styleId="60">
    <w:name w:val="6"/>
    <w:basedOn w:val="Normal"/>
    <w:next w:val="BlockText"/>
    <w:uiPriority w:val="99"/>
    <w:rsid w:val="00672A56"/>
    <w:pPr>
      <w:tabs>
        <w:tab w:val="left" w:pos="2940"/>
        <w:tab w:val="left" w:pos="8760"/>
      </w:tabs>
      <w:spacing w:line="280" w:lineRule="exact"/>
      <w:ind w:left="2260" w:right="520"/>
    </w:pPr>
    <w:rPr>
      <w:rFonts w:ascii="Times New Roman" w:hAnsi="Times New Roman" w:cs="David"/>
      <w:snapToGrid w:val="0"/>
      <w:color w:val="auto"/>
      <w:sz w:val="24"/>
      <w:lang w:eastAsia="he-IL"/>
    </w:rPr>
  </w:style>
  <w:style w:type="paragraph" w:customStyle="1" w:styleId="50">
    <w:name w:val="5"/>
    <w:basedOn w:val="Normal"/>
    <w:next w:val="BlockText"/>
    <w:uiPriority w:val="99"/>
    <w:rsid w:val="00672A56"/>
    <w:pPr>
      <w:tabs>
        <w:tab w:val="left" w:pos="2940"/>
        <w:tab w:val="left" w:pos="8760"/>
      </w:tabs>
      <w:spacing w:line="280" w:lineRule="exact"/>
      <w:ind w:left="2260" w:right="520"/>
    </w:pPr>
    <w:rPr>
      <w:rFonts w:ascii="Times New Roman" w:hAnsi="Times New Roman" w:cs="David"/>
      <w:snapToGrid w:val="0"/>
      <w:color w:val="auto"/>
      <w:sz w:val="24"/>
      <w:lang w:eastAsia="he-IL"/>
    </w:rPr>
  </w:style>
  <w:style w:type="paragraph" w:customStyle="1" w:styleId="43">
    <w:name w:val="4"/>
    <w:basedOn w:val="Normal"/>
    <w:next w:val="BlockText"/>
    <w:uiPriority w:val="99"/>
    <w:rsid w:val="00672A56"/>
    <w:pPr>
      <w:tabs>
        <w:tab w:val="left" w:pos="2940"/>
        <w:tab w:val="left" w:pos="8760"/>
      </w:tabs>
      <w:spacing w:line="280" w:lineRule="exact"/>
      <w:ind w:left="2260" w:right="520"/>
    </w:pPr>
    <w:rPr>
      <w:rFonts w:ascii="Times New Roman" w:hAnsi="Times New Roman" w:cs="David"/>
      <w:snapToGrid w:val="0"/>
      <w:color w:val="auto"/>
      <w:sz w:val="24"/>
      <w:lang w:eastAsia="he-IL"/>
    </w:rPr>
  </w:style>
  <w:style w:type="character" w:customStyle="1" w:styleId="FootnoteTextChar1">
    <w:name w:val="Footnote Text Char1"/>
    <w:semiHidden/>
    <w:locked/>
    <w:rsid w:val="00672A56"/>
    <w:rPr>
      <w:rFonts w:cs="David"/>
      <w:noProof/>
      <w:lang w:val="en-US" w:eastAsia="he-IL" w:bidi="he-IL"/>
    </w:rPr>
  </w:style>
  <w:style w:type="paragraph" w:customStyle="1" w:styleId="36">
    <w:name w:val="3"/>
    <w:basedOn w:val="Normal"/>
    <w:next w:val="Footer"/>
    <w:uiPriority w:val="99"/>
    <w:rsid w:val="00672A56"/>
    <w:pPr>
      <w:widowControl w:val="0"/>
      <w:tabs>
        <w:tab w:val="center" w:pos="4153"/>
        <w:tab w:val="right" w:pos="8306"/>
      </w:tabs>
      <w:jc w:val="left"/>
    </w:pPr>
    <w:rPr>
      <w:rFonts w:ascii="Times New Roman" w:hAnsi="Times New Roman" w:cs="David"/>
      <w:snapToGrid w:val="0"/>
      <w:color w:val="auto"/>
      <w:sz w:val="20"/>
      <w:lang w:eastAsia="he-IL"/>
    </w:rPr>
  </w:style>
  <w:style w:type="paragraph" w:customStyle="1" w:styleId="Default">
    <w:name w:val="Default"/>
    <w:uiPriority w:val="99"/>
    <w:rsid w:val="00672A5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f1">
    <w:name w:val="(א)"/>
    <w:basedOn w:val="Normal"/>
    <w:autoRedefine/>
    <w:uiPriority w:val="99"/>
    <w:rsid w:val="00672A56"/>
    <w:pPr>
      <w:tabs>
        <w:tab w:val="left" w:pos="7440"/>
        <w:tab w:val="left" w:pos="8720"/>
      </w:tabs>
      <w:spacing w:line="340" w:lineRule="exact"/>
      <w:ind w:left="520" w:right="2920" w:hanging="360"/>
    </w:pPr>
    <w:rPr>
      <w:snapToGrid w:val="0"/>
      <w:color w:val="auto"/>
      <w:sz w:val="24"/>
      <w:lang w:eastAsia="he-IL"/>
    </w:rPr>
  </w:style>
  <w:style w:type="paragraph" w:customStyle="1" w:styleId="af2">
    <w:name w:val="ראשי"/>
    <w:basedOn w:val="Heading7"/>
    <w:autoRedefine/>
    <w:uiPriority w:val="99"/>
    <w:rsid w:val="00672A56"/>
    <w:pPr>
      <w:tabs>
        <w:tab w:val="left" w:pos="7440"/>
        <w:tab w:val="left" w:pos="8720"/>
      </w:tabs>
      <w:spacing w:line="300" w:lineRule="exact"/>
      <w:ind w:left="1531" w:right="1531" w:hanging="397"/>
    </w:pPr>
    <w:rPr>
      <w:rFonts w:cs="OronMF"/>
      <w:b/>
      <w:bCs/>
      <w:color w:val="auto"/>
      <w:sz w:val="24"/>
      <w:szCs w:val="20"/>
    </w:rPr>
  </w:style>
  <w:style w:type="paragraph" w:customStyle="1" w:styleId="CharChar1CharCharCharCharCharCharCharChar1CharCharCharCharCharCharCharCharCharCharCharCharCharChar">
    <w:name w:val="Char Char1 תו תו Char Char תו תו Char Char תו תו Char Char תו תו Char Char תו תו1 Char Char תו תו Char Char תו תו Char Char תו תו Char Char תו תו Char Char תו תו Char Char תו תו Char Char"/>
    <w:basedOn w:val="Normal"/>
    <w:uiPriority w:val="99"/>
    <w:rsid w:val="00672A56"/>
    <w:pPr>
      <w:spacing w:after="160" w:line="240" w:lineRule="exact"/>
      <w:jc w:val="left"/>
    </w:pPr>
    <w:rPr>
      <w:rFonts w:ascii="Verdana" w:hAnsi="Verdana"/>
      <w:color w:val="auto"/>
      <w:lang w:bidi="ar-SA"/>
    </w:rPr>
  </w:style>
  <w:style w:type="paragraph" w:customStyle="1" w:styleId="-2">
    <w:name w:val="דוח-מלל ביאור"/>
    <w:basedOn w:val="Normal"/>
    <w:link w:val="-3"/>
    <w:rsid w:val="00672A56"/>
    <w:pPr>
      <w:spacing w:before="60" w:after="60" w:line="264" w:lineRule="auto"/>
    </w:pPr>
    <w:rPr>
      <w:color w:val="auto"/>
    </w:rPr>
  </w:style>
  <w:style w:type="character" w:customStyle="1" w:styleId="-3">
    <w:name w:val="דוח-מלל ביאור תו"/>
    <w:link w:val="-2"/>
    <w:rsid w:val="00672A56"/>
    <w:rPr>
      <w:rFonts w:ascii="Arial" w:eastAsia="Times New Roman" w:hAnsi="Arial" w:cs="Arial"/>
      <w:sz w:val="18"/>
      <w:szCs w:val="20"/>
    </w:rPr>
  </w:style>
  <w:style w:type="paragraph" w:customStyle="1" w:styleId="-4">
    <w:name w:val="דוח-כותרת מלל ביאור"/>
    <w:basedOn w:val="-2"/>
    <w:link w:val="-5"/>
    <w:rsid w:val="00672A56"/>
    <w:rPr>
      <w:b/>
      <w:bCs/>
    </w:rPr>
  </w:style>
  <w:style w:type="character" w:customStyle="1" w:styleId="-5">
    <w:name w:val="דוח-כותרת מלל ביאור תו"/>
    <w:link w:val="-4"/>
    <w:rsid w:val="00672A56"/>
    <w:rPr>
      <w:rFonts w:ascii="Arial" w:eastAsia="Times New Roman" w:hAnsi="Arial" w:cs="Arial"/>
      <w:b/>
      <w:bCs/>
      <w:sz w:val="18"/>
      <w:szCs w:val="20"/>
    </w:rPr>
  </w:style>
  <w:style w:type="paragraph" w:customStyle="1" w:styleId="-6">
    <w:name w:val="דוח-תאגיד בנקאי"/>
    <w:basedOn w:val="Normal"/>
    <w:uiPriority w:val="99"/>
    <w:rsid w:val="00672A56"/>
    <w:rPr>
      <w:b/>
      <w:bCs/>
      <w:color w:val="auto"/>
      <w:sz w:val="22"/>
      <w:szCs w:val="22"/>
    </w:rPr>
  </w:style>
  <w:style w:type="paragraph" w:customStyle="1" w:styleId="-7">
    <w:name w:val="דוח-כותרת דוח"/>
    <w:basedOn w:val="Normal"/>
    <w:uiPriority w:val="99"/>
    <w:rsid w:val="00672A56"/>
    <w:pPr>
      <w:pBdr>
        <w:bottom w:val="single" w:sz="12" w:space="1" w:color="auto"/>
      </w:pBdr>
      <w:spacing w:after="120"/>
    </w:pPr>
    <w:rPr>
      <w:b/>
      <w:bCs/>
      <w:color w:val="auto"/>
      <w:sz w:val="22"/>
      <w:szCs w:val="22"/>
    </w:rPr>
  </w:style>
  <w:style w:type="paragraph" w:customStyle="1" w:styleId="-8">
    <w:name w:val="דוח-סכומים מדווחים"/>
    <w:basedOn w:val="Normal"/>
    <w:uiPriority w:val="99"/>
    <w:rsid w:val="00672A56"/>
    <w:pPr>
      <w:spacing w:after="240"/>
    </w:pPr>
    <w:rPr>
      <w:color w:val="auto"/>
    </w:rPr>
  </w:style>
  <w:style w:type="paragraph" w:customStyle="1" w:styleId="-9">
    <w:name w:val="דוח-ביאור #"/>
    <w:basedOn w:val="Normal"/>
    <w:uiPriority w:val="99"/>
    <w:rsid w:val="00672A56"/>
    <w:pPr>
      <w:spacing w:after="120"/>
    </w:pPr>
    <w:rPr>
      <w:b/>
      <w:bCs/>
      <w:color w:val="auto"/>
      <w:sz w:val="22"/>
      <w:szCs w:val="22"/>
    </w:rPr>
  </w:style>
  <w:style w:type="paragraph" w:customStyle="1" w:styleId="-a">
    <w:name w:val="דוח-כותרת מספר"/>
    <w:basedOn w:val="-4"/>
    <w:uiPriority w:val="99"/>
    <w:rsid w:val="00672A56"/>
    <w:pPr>
      <w:tabs>
        <w:tab w:val="num" w:pos="360"/>
        <w:tab w:val="num" w:pos="1474"/>
      </w:tabs>
      <w:ind w:right="-144"/>
      <w:jc w:val="left"/>
    </w:pPr>
  </w:style>
  <w:style w:type="paragraph" w:customStyle="1" w:styleId="af3">
    <w:name w:val="כותרת סצינה"/>
    <w:basedOn w:val="BodyText2"/>
    <w:next w:val="Normal"/>
    <w:uiPriority w:val="99"/>
    <w:rsid w:val="00672A56"/>
    <w:pPr>
      <w:tabs>
        <w:tab w:val="left" w:pos="720"/>
        <w:tab w:val="left" w:pos="9749"/>
      </w:tabs>
      <w:spacing w:line="240" w:lineRule="auto"/>
      <w:ind w:left="927" w:hanging="360"/>
    </w:pPr>
    <w:rPr>
      <w:rFonts w:ascii="Courier New" w:hAnsi="Courier New" w:cs="Courier New"/>
      <w:color w:val="auto"/>
      <w:sz w:val="28"/>
      <w:szCs w:val="28"/>
      <w:lang w:eastAsia="en-US"/>
    </w:rPr>
  </w:style>
  <w:style w:type="paragraph" w:customStyle="1" w:styleId="-b">
    <w:name w:val="דוח-סעיף"/>
    <w:basedOn w:val="Normal"/>
    <w:link w:val="-c"/>
    <w:rsid w:val="00672A56"/>
    <w:pPr>
      <w:spacing w:line="241" w:lineRule="auto"/>
      <w:ind w:left="144" w:hanging="144"/>
      <w:jc w:val="left"/>
    </w:pPr>
    <w:rPr>
      <w:lang w:eastAsia="he-IL"/>
    </w:rPr>
  </w:style>
  <w:style w:type="character" w:customStyle="1" w:styleId="-c">
    <w:name w:val="דוח-סעיף תו"/>
    <w:link w:val="-b"/>
    <w:rsid w:val="00672A56"/>
    <w:rPr>
      <w:rFonts w:ascii="Arial" w:eastAsia="Times New Roman" w:hAnsi="Arial" w:cs="Arial"/>
      <w:color w:val="000000"/>
      <w:sz w:val="18"/>
      <w:szCs w:val="20"/>
      <w:lang w:eastAsia="he-IL"/>
    </w:rPr>
  </w:style>
  <w:style w:type="paragraph" w:customStyle="1" w:styleId="-d">
    <w:name w:val="דוח-סעיף סך הכל"/>
    <w:basedOn w:val="-b"/>
    <w:link w:val="-e"/>
    <w:rsid w:val="00672A56"/>
    <w:rPr>
      <w:b/>
      <w:bCs/>
    </w:rPr>
  </w:style>
  <w:style w:type="character" w:customStyle="1" w:styleId="-e">
    <w:name w:val="דוח-סעיף סך הכל תו"/>
    <w:link w:val="-d"/>
    <w:rsid w:val="00672A56"/>
    <w:rPr>
      <w:rFonts w:ascii="Arial" w:eastAsia="Times New Roman" w:hAnsi="Arial" w:cs="Arial"/>
      <w:b/>
      <w:bCs/>
      <w:color w:val="000000"/>
      <w:sz w:val="18"/>
      <w:szCs w:val="20"/>
      <w:lang w:eastAsia="he-IL"/>
    </w:rPr>
  </w:style>
  <w:style w:type="paragraph" w:customStyle="1" w:styleId="-10">
    <w:name w:val="דוח-ביאור 1"/>
    <w:basedOn w:val="-2"/>
    <w:link w:val="-12"/>
    <w:rsid w:val="00672A56"/>
    <w:pPr>
      <w:spacing w:before="0"/>
      <w:jc w:val="left"/>
    </w:pPr>
    <w:rPr>
      <w:b/>
      <w:bCs/>
    </w:rPr>
  </w:style>
  <w:style w:type="character" w:customStyle="1" w:styleId="-12">
    <w:name w:val="דוח-ביאור 1 תו"/>
    <w:link w:val="-10"/>
    <w:rsid w:val="00672A56"/>
    <w:rPr>
      <w:rFonts w:ascii="Arial" w:eastAsia="Times New Roman" w:hAnsi="Arial" w:cs="Arial"/>
      <w:b/>
      <w:bCs/>
      <w:sz w:val="18"/>
      <w:szCs w:val="20"/>
    </w:rPr>
  </w:style>
  <w:style w:type="paragraph" w:customStyle="1" w:styleId="-f">
    <w:name w:val="דוח-סעיף כותרת"/>
    <w:basedOn w:val="-b"/>
    <w:link w:val="-f0"/>
    <w:rsid w:val="00672A56"/>
    <w:rPr>
      <w:b/>
      <w:bCs/>
      <w:u w:val="single"/>
    </w:rPr>
  </w:style>
  <w:style w:type="character" w:customStyle="1" w:styleId="-f0">
    <w:name w:val="דוח-סעיף כותרת תו"/>
    <w:link w:val="-f"/>
    <w:rsid w:val="00672A56"/>
    <w:rPr>
      <w:rFonts w:ascii="Arial" w:eastAsia="Times New Roman" w:hAnsi="Arial" w:cs="Arial"/>
      <w:b/>
      <w:bCs/>
      <w:color w:val="000000"/>
      <w:sz w:val="18"/>
      <w:szCs w:val="20"/>
      <w:u w:val="single"/>
      <w:lang w:eastAsia="he-IL"/>
    </w:rPr>
  </w:style>
  <w:style w:type="paragraph" w:customStyle="1" w:styleId="-f1">
    <w:name w:val="דוח-מספר סך הכל"/>
    <w:basedOn w:val="-d"/>
    <w:link w:val="-f2"/>
    <w:rsid w:val="00672A56"/>
    <w:pPr>
      <w:pBdr>
        <w:top w:val="single" w:sz="4" w:space="1" w:color="auto"/>
      </w:pBdr>
    </w:pPr>
  </w:style>
  <w:style w:type="character" w:customStyle="1" w:styleId="-f2">
    <w:name w:val="דוח-מספר סך הכל תו"/>
    <w:basedOn w:val="-e"/>
    <w:link w:val="-f1"/>
    <w:rsid w:val="00672A56"/>
    <w:rPr>
      <w:rFonts w:ascii="Arial" w:eastAsia="Times New Roman" w:hAnsi="Arial" w:cs="Arial"/>
      <w:b/>
      <w:bCs/>
      <w:color w:val="000000"/>
      <w:sz w:val="18"/>
      <w:szCs w:val="20"/>
      <w:lang w:eastAsia="he-IL"/>
    </w:rPr>
  </w:style>
  <w:style w:type="paragraph" w:customStyle="1" w:styleId="-13">
    <w:name w:val="דוח-ביאור 1 כותרת משנה"/>
    <w:basedOn w:val="-10"/>
    <w:link w:val="-14"/>
    <w:rsid w:val="00672A56"/>
    <w:pPr>
      <w:spacing w:before="60"/>
      <w:jc w:val="both"/>
    </w:pPr>
  </w:style>
  <w:style w:type="character" w:customStyle="1" w:styleId="-14">
    <w:name w:val="דוח-ביאור 1 כותרת משנה תו"/>
    <w:basedOn w:val="-12"/>
    <w:link w:val="-13"/>
    <w:rsid w:val="00672A56"/>
    <w:rPr>
      <w:rFonts w:ascii="Arial" w:eastAsia="Times New Roman" w:hAnsi="Arial" w:cs="Arial"/>
      <w:b/>
      <w:bCs/>
      <w:sz w:val="18"/>
      <w:szCs w:val="20"/>
    </w:rPr>
  </w:style>
  <w:style w:type="paragraph" w:customStyle="1" w:styleId="nispah">
    <w:name w:val="nispah"/>
    <w:basedOn w:val="Normal"/>
    <w:uiPriority w:val="99"/>
    <w:rsid w:val="00672A56"/>
    <w:pPr>
      <w:tabs>
        <w:tab w:val="num" w:pos="2535"/>
      </w:tabs>
      <w:spacing w:line="360" w:lineRule="auto"/>
      <w:ind w:left="2535" w:right="360" w:hanging="340"/>
      <w:jc w:val="right"/>
    </w:pPr>
    <w:rPr>
      <w:rFonts w:cs="Miriam"/>
      <w:noProof/>
      <w:sz w:val="24"/>
      <w:lang w:eastAsia="he-IL"/>
    </w:rPr>
  </w:style>
  <w:style w:type="paragraph" w:customStyle="1" w:styleId="af4">
    <w:name w:val="לעדכן"/>
    <w:basedOn w:val="Normal"/>
    <w:link w:val="af5"/>
    <w:rsid w:val="00672A56"/>
    <w:pPr>
      <w:spacing w:after="160" w:line="264" w:lineRule="auto"/>
      <w:jc w:val="left"/>
    </w:pPr>
    <w:rPr>
      <w:rFonts w:asciiTheme="minorHAnsi" w:eastAsiaTheme="minorHAnsi" w:hAnsiTheme="minorHAnsi" w:cstheme="minorBidi"/>
      <w:color w:val="FF0000"/>
      <w:sz w:val="22"/>
      <w:szCs w:val="22"/>
    </w:rPr>
  </w:style>
  <w:style w:type="character" w:customStyle="1" w:styleId="af5">
    <w:name w:val="לעדכן תו"/>
    <w:basedOn w:val="DefaultParagraphFont"/>
    <w:link w:val="af4"/>
    <w:rsid w:val="00672A56"/>
    <w:rPr>
      <w:color w:val="FF0000"/>
    </w:rPr>
  </w:style>
  <w:style w:type="paragraph" w:customStyle="1" w:styleId="af6">
    <w:name w:val="בנק"/>
    <w:basedOn w:val="Normal"/>
    <w:link w:val="af7"/>
    <w:rsid w:val="00672A56"/>
    <w:pPr>
      <w:spacing w:before="120" w:after="120" w:line="264" w:lineRule="auto"/>
      <w:jc w:val="left"/>
    </w:pPr>
    <w:rPr>
      <w:b/>
      <w:bCs/>
      <w:color w:val="FF6600"/>
      <w:sz w:val="24"/>
      <w:szCs w:val="24"/>
    </w:rPr>
  </w:style>
  <w:style w:type="paragraph" w:customStyle="1" w:styleId="af8">
    <w:name w:val="בנק אותיות"/>
    <w:basedOn w:val="Normal"/>
    <w:rsid w:val="00672A56"/>
    <w:pPr>
      <w:spacing w:before="240" w:after="240"/>
      <w:jc w:val="left"/>
    </w:pPr>
    <w:rPr>
      <w:rFonts w:asciiTheme="minorBidi" w:eastAsiaTheme="minorHAnsi" w:hAnsiTheme="minorBidi" w:cstheme="minorBidi"/>
      <w:b/>
      <w:bCs/>
      <w:color w:val="002776"/>
      <w:sz w:val="48"/>
      <w:szCs w:val="48"/>
    </w:rPr>
  </w:style>
  <w:style w:type="character" w:styleId="FollowedHyperlink">
    <w:name w:val="FollowedHyperlink"/>
    <w:basedOn w:val="DefaultParagraphFont"/>
    <w:unhideWhenUsed/>
    <w:rsid w:val="00672A56"/>
    <w:rPr>
      <w:color w:val="954F72" w:themeColor="followedHyperlink"/>
      <w:u w:val="single"/>
    </w:rPr>
  </w:style>
  <w:style w:type="paragraph" w:customStyle="1" w:styleId="af9">
    <w:name w:val="כותרת ראשונית"/>
    <w:basedOn w:val="Normal"/>
    <w:link w:val="afa"/>
    <w:rsid w:val="00672A56"/>
    <w:pPr>
      <w:spacing w:line="340" w:lineRule="exact"/>
      <w:jc w:val="left"/>
    </w:pPr>
    <w:rPr>
      <w:rFonts w:asciiTheme="minorHAnsi" w:eastAsiaTheme="minorHAnsi" w:hAnsiTheme="minorHAnsi" w:cstheme="minorBidi"/>
      <w:b/>
      <w:bCs/>
      <w:color w:val="FF6600"/>
      <w:sz w:val="28"/>
      <w:szCs w:val="28"/>
    </w:rPr>
  </w:style>
  <w:style w:type="paragraph" w:customStyle="1" w:styleId="afb">
    <w:name w:val="כותרת גדולה"/>
    <w:basedOn w:val="af9"/>
    <w:link w:val="afc"/>
    <w:rsid w:val="00672A56"/>
    <w:rPr>
      <w:sz w:val="32"/>
      <w:szCs w:val="32"/>
    </w:rPr>
  </w:style>
  <w:style w:type="character" w:customStyle="1" w:styleId="afa">
    <w:name w:val="כותרת ראשונית תו"/>
    <w:basedOn w:val="DefaultParagraphFont"/>
    <w:link w:val="af9"/>
    <w:rsid w:val="00672A56"/>
    <w:rPr>
      <w:b/>
      <w:bCs/>
      <w:color w:val="FF6600"/>
      <w:sz w:val="28"/>
      <w:szCs w:val="28"/>
    </w:rPr>
  </w:style>
  <w:style w:type="paragraph" w:customStyle="1" w:styleId="25">
    <w:name w:val="כותרת מספר 2"/>
    <w:basedOn w:val="af6"/>
    <w:link w:val="26"/>
    <w:rsid w:val="00672A56"/>
    <w:pPr>
      <w:spacing w:before="0" w:after="0" w:line="340" w:lineRule="exact"/>
    </w:pPr>
  </w:style>
  <w:style w:type="character" w:customStyle="1" w:styleId="afc">
    <w:name w:val="כותרת גדולה תו"/>
    <w:basedOn w:val="afa"/>
    <w:link w:val="afb"/>
    <w:rsid w:val="00672A56"/>
    <w:rPr>
      <w:b/>
      <w:bCs/>
      <w:color w:val="FF6600"/>
      <w:sz w:val="32"/>
      <w:szCs w:val="32"/>
    </w:rPr>
  </w:style>
  <w:style w:type="paragraph" w:customStyle="1" w:styleId="afd">
    <w:name w:val="אותיות רגילות"/>
    <w:basedOn w:val="Normal"/>
    <w:link w:val="afe"/>
    <w:rsid w:val="00672A56"/>
    <w:pPr>
      <w:spacing w:after="120" w:line="340" w:lineRule="exact"/>
    </w:pPr>
    <w:rPr>
      <w:noProof/>
      <w:sz w:val="16"/>
      <w:szCs w:val="18"/>
    </w:rPr>
  </w:style>
  <w:style w:type="character" w:customStyle="1" w:styleId="af7">
    <w:name w:val="בנק תו"/>
    <w:basedOn w:val="DefaultParagraphFont"/>
    <w:link w:val="af6"/>
    <w:rsid w:val="00672A56"/>
    <w:rPr>
      <w:rFonts w:ascii="Arial" w:eastAsia="Times New Roman" w:hAnsi="Arial" w:cs="Arial"/>
      <w:b/>
      <w:bCs/>
      <w:color w:val="FF6600"/>
      <w:sz w:val="24"/>
      <w:szCs w:val="24"/>
    </w:rPr>
  </w:style>
  <w:style w:type="character" w:customStyle="1" w:styleId="26">
    <w:name w:val="כותרת מספר 2 תו"/>
    <w:basedOn w:val="af7"/>
    <w:link w:val="25"/>
    <w:rsid w:val="00672A56"/>
    <w:rPr>
      <w:rFonts w:ascii="Arial" w:eastAsia="Times New Roman" w:hAnsi="Arial" w:cs="Arial"/>
      <w:b/>
      <w:bCs/>
      <w:color w:val="FF6600"/>
      <w:sz w:val="24"/>
      <w:szCs w:val="24"/>
    </w:rPr>
  </w:style>
  <w:style w:type="paragraph" w:customStyle="1" w:styleId="37">
    <w:name w:val="כותרת מספר 3"/>
    <w:basedOn w:val="25"/>
    <w:link w:val="38"/>
    <w:rsid w:val="00672A56"/>
  </w:style>
  <w:style w:type="character" w:customStyle="1" w:styleId="afe">
    <w:name w:val="אותיות רגילות תו"/>
    <w:basedOn w:val="DefaultParagraphFont"/>
    <w:link w:val="afd"/>
    <w:rsid w:val="00672A56"/>
    <w:rPr>
      <w:rFonts w:ascii="Arial" w:eastAsia="Times New Roman" w:hAnsi="Arial" w:cs="Arial"/>
      <w:noProof/>
      <w:color w:val="000000"/>
      <w:sz w:val="16"/>
      <w:szCs w:val="18"/>
    </w:rPr>
  </w:style>
  <w:style w:type="paragraph" w:customStyle="1" w:styleId="16">
    <w:name w:val="1 חדש"/>
    <w:basedOn w:val="af9"/>
    <w:link w:val="17"/>
    <w:rsid w:val="00672A56"/>
  </w:style>
  <w:style w:type="character" w:customStyle="1" w:styleId="38">
    <w:name w:val="כותרת מספר 3 תו"/>
    <w:basedOn w:val="26"/>
    <w:link w:val="37"/>
    <w:rsid w:val="00672A56"/>
    <w:rPr>
      <w:rFonts w:ascii="Arial" w:eastAsia="Times New Roman" w:hAnsi="Arial" w:cs="Arial"/>
      <w:b/>
      <w:bCs/>
      <w:color w:val="FF6600"/>
      <w:sz w:val="24"/>
      <w:szCs w:val="24"/>
    </w:rPr>
  </w:style>
  <w:style w:type="character" w:customStyle="1" w:styleId="17">
    <w:name w:val="1 חדש תו"/>
    <w:basedOn w:val="afa"/>
    <w:link w:val="16"/>
    <w:rsid w:val="00672A56"/>
    <w:rPr>
      <w:b/>
      <w:bCs/>
      <w:color w:val="FF6600"/>
      <w:sz w:val="28"/>
      <w:szCs w:val="28"/>
    </w:rPr>
  </w:style>
  <w:style w:type="paragraph" w:customStyle="1" w:styleId="4-">
    <w:name w:val="4 - חדש"/>
    <w:basedOn w:val="3-"/>
    <w:link w:val="4-0"/>
    <w:rsid w:val="00672A56"/>
    <w:rPr>
      <w:sz w:val="20"/>
      <w:szCs w:val="20"/>
    </w:rPr>
  </w:style>
  <w:style w:type="paragraph" w:customStyle="1" w:styleId="-15">
    <w:name w:val="סעיף תלוי-1"/>
    <w:basedOn w:val="af4"/>
    <w:link w:val="-16"/>
    <w:rsid w:val="00672A56"/>
    <w:pPr>
      <w:spacing w:after="120" w:line="340" w:lineRule="exact"/>
      <w:ind w:left="454" w:hanging="454"/>
      <w:jc w:val="both"/>
    </w:pPr>
    <w:rPr>
      <w:sz w:val="18"/>
      <w:szCs w:val="18"/>
    </w:rPr>
  </w:style>
  <w:style w:type="character" w:customStyle="1" w:styleId="4-0">
    <w:name w:val="4 - חדש תו"/>
    <w:basedOn w:val="3-0"/>
    <w:link w:val="4-"/>
    <w:rsid w:val="00672A56"/>
    <w:rPr>
      <w:rFonts w:ascii="Arial" w:eastAsia="Times New Roman" w:hAnsi="Arial" w:cs="Arial"/>
      <w:b/>
      <w:bCs/>
      <w:color w:val="FF6600"/>
      <w:sz w:val="20"/>
      <w:szCs w:val="20"/>
    </w:rPr>
  </w:style>
  <w:style w:type="character" w:customStyle="1" w:styleId="-16">
    <w:name w:val="סעיף תלוי-1 תו"/>
    <w:basedOn w:val="af5"/>
    <w:link w:val="-15"/>
    <w:rsid w:val="00672A56"/>
    <w:rPr>
      <w:color w:val="FF0000"/>
      <w:sz w:val="18"/>
      <w:szCs w:val="18"/>
    </w:rPr>
  </w:style>
  <w:style w:type="paragraph" w:customStyle="1" w:styleId="Char3">
    <w:name w:val="Char3"/>
    <w:basedOn w:val="Normal"/>
    <w:next w:val="Normal"/>
    <w:autoRedefine/>
    <w:rsid w:val="00672A56"/>
    <w:pPr>
      <w:spacing w:after="160" w:line="240" w:lineRule="exact"/>
      <w:jc w:val="right"/>
    </w:pPr>
    <w:rPr>
      <w:rFonts w:ascii="Tahoma" w:hAnsi="Tahoma"/>
      <w:color w:val="auto"/>
      <w:sz w:val="22"/>
      <w:szCs w:val="24"/>
      <w:lang w:bidi="ar-SA"/>
    </w:rPr>
  </w:style>
  <w:style w:type="paragraph" w:customStyle="1" w:styleId="3CharChar3">
    <w:name w:val="תו תו3 Char Char3"/>
    <w:basedOn w:val="Normal"/>
    <w:rsid w:val="00672A56"/>
    <w:pPr>
      <w:spacing w:after="160" w:line="240" w:lineRule="exact"/>
      <w:jc w:val="left"/>
    </w:pPr>
    <w:rPr>
      <w:rFonts w:ascii="Tahoma" w:hAnsi="Tahoma" w:cs="Times New Roman"/>
      <w:color w:val="auto"/>
      <w:sz w:val="20"/>
      <w:lang w:bidi="ar-SA"/>
    </w:rPr>
  </w:style>
  <w:style w:type="paragraph" w:customStyle="1" w:styleId="39">
    <w:name w:val="תו3"/>
    <w:basedOn w:val="Normal"/>
    <w:next w:val="Normal"/>
    <w:autoRedefine/>
    <w:rsid w:val="00672A56"/>
    <w:pPr>
      <w:spacing w:after="160" w:line="240" w:lineRule="exact"/>
      <w:jc w:val="right"/>
    </w:pPr>
    <w:rPr>
      <w:rFonts w:ascii="Tahoma" w:hAnsi="Tahoma"/>
      <w:color w:val="auto"/>
      <w:sz w:val="22"/>
      <w:szCs w:val="24"/>
      <w:lang w:bidi="ar-SA"/>
    </w:rPr>
  </w:style>
  <w:style w:type="paragraph" w:customStyle="1" w:styleId="27">
    <w:name w:val="פיסקת רשימה2"/>
    <w:basedOn w:val="Normal"/>
    <w:link w:val="28"/>
    <w:rsid w:val="00672A56"/>
    <w:pPr>
      <w:widowControl w:val="0"/>
      <w:overflowPunct w:val="0"/>
      <w:autoSpaceDE w:val="0"/>
      <w:autoSpaceDN w:val="0"/>
      <w:adjustRightInd w:val="0"/>
      <w:ind w:left="720"/>
      <w:jc w:val="left"/>
      <w:textAlignment w:val="baseline"/>
    </w:pPr>
    <w:rPr>
      <w:rFonts w:ascii="Times New Roman" w:hAnsi="Times New Roman" w:cs="David"/>
      <w:color w:val="auto"/>
      <w:sz w:val="22"/>
      <w:szCs w:val="22"/>
    </w:rPr>
  </w:style>
  <w:style w:type="character" w:customStyle="1" w:styleId="FootnoteTextChar">
    <w:name w:val="Footnote Text Char"/>
    <w:locked/>
    <w:rsid w:val="00672A56"/>
    <w:rPr>
      <w:rFonts w:cs="David"/>
      <w:lang w:val="en-US" w:eastAsia="en-US" w:bidi="he-IL"/>
    </w:rPr>
  </w:style>
  <w:style w:type="paragraph" w:customStyle="1" w:styleId="CharChar1CharCharCharCharCharCharCharChar1CharCharCharCharCharCharCharCharCharCharCharCharCharChar1">
    <w:name w:val="Char Char1 תו תו Char Char תו תו Char Char תו תו Char Char תו תו Char Char תו תו1 Char Char תו תו Char Char תו תו Char Char תו תו Char Char תו תו Char Char תו תו Char Char תו תו Char Char1"/>
    <w:basedOn w:val="Normal"/>
    <w:uiPriority w:val="99"/>
    <w:rsid w:val="00672A56"/>
    <w:pPr>
      <w:spacing w:after="160" w:line="240" w:lineRule="exact"/>
      <w:jc w:val="left"/>
    </w:pPr>
    <w:rPr>
      <w:rFonts w:ascii="Verdana" w:hAnsi="Verdana"/>
      <w:color w:val="auto"/>
      <w:lang w:bidi="ar-SA"/>
    </w:rPr>
  </w:style>
  <w:style w:type="paragraph" w:customStyle="1" w:styleId="29">
    <w:name w:val="תו2"/>
    <w:basedOn w:val="Normal"/>
    <w:rsid w:val="00672A56"/>
    <w:pPr>
      <w:spacing w:after="160" w:line="240" w:lineRule="exact"/>
      <w:jc w:val="left"/>
    </w:pPr>
    <w:rPr>
      <w:rFonts w:ascii="Tahoma" w:hAnsi="Tahoma" w:cs="Times New Roman"/>
      <w:color w:val="auto"/>
      <w:sz w:val="20"/>
      <w:lang w:bidi="ar-SA"/>
    </w:rPr>
  </w:style>
  <w:style w:type="paragraph" w:customStyle="1" w:styleId="Char2">
    <w:name w:val="Char2"/>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2">
    <w:name w:val="תו תו3 Char Char2"/>
    <w:basedOn w:val="Normal"/>
    <w:rsid w:val="00672A56"/>
    <w:pPr>
      <w:spacing w:after="160" w:line="240" w:lineRule="exact"/>
      <w:jc w:val="left"/>
    </w:pPr>
    <w:rPr>
      <w:rFonts w:ascii="Tahoma" w:hAnsi="Tahoma" w:cs="Times New Roman"/>
      <w:color w:val="auto"/>
      <w:lang w:bidi="ar-SA"/>
    </w:rPr>
  </w:style>
  <w:style w:type="paragraph" w:customStyle="1" w:styleId="18">
    <w:name w:val="תו תו תו תו תו תו תו תו תו תו תו תו תו תו תו תו תו תו תו תו תו תו תו תו תו תו תו תו תו תו תו תו1"/>
    <w:basedOn w:val="Normal"/>
    <w:next w:val="Normal"/>
    <w:autoRedefine/>
    <w:uiPriority w:val="99"/>
    <w:rsid w:val="00672A56"/>
    <w:pPr>
      <w:spacing w:after="160" w:line="240" w:lineRule="exact"/>
      <w:jc w:val="right"/>
    </w:pPr>
    <w:rPr>
      <w:rFonts w:ascii="Tahoma" w:hAnsi="Tahoma"/>
      <w:color w:val="auto"/>
      <w:sz w:val="22"/>
      <w:szCs w:val="24"/>
      <w:lang w:bidi="ar-SA"/>
    </w:rPr>
  </w:style>
  <w:style w:type="paragraph" w:customStyle="1" w:styleId="2-1">
    <w:name w:val="מקו2-"/>
    <w:basedOn w:val="Normal"/>
    <w:link w:val="2-3"/>
    <w:rsid w:val="00672A56"/>
    <w:pPr>
      <w:widowControl w:val="0"/>
      <w:tabs>
        <w:tab w:val="num" w:pos="1603"/>
      </w:tabs>
      <w:spacing w:line="340" w:lineRule="exact"/>
      <w:ind w:left="1603" w:hanging="340"/>
    </w:pPr>
    <w:rPr>
      <w:sz w:val="16"/>
      <w:szCs w:val="18"/>
    </w:rPr>
  </w:style>
  <w:style w:type="paragraph" w:customStyle="1" w:styleId="-2-">
    <w:name w:val="מקו-2-"/>
    <w:basedOn w:val="27"/>
    <w:link w:val="-2-0"/>
    <w:rsid w:val="00672A56"/>
    <w:pPr>
      <w:widowControl/>
      <w:numPr>
        <w:numId w:val="14"/>
      </w:numPr>
      <w:overflowPunct/>
      <w:autoSpaceDE/>
      <w:autoSpaceDN/>
      <w:adjustRightInd/>
      <w:spacing w:line="320" w:lineRule="exact"/>
      <w:contextualSpacing/>
      <w:jc w:val="both"/>
      <w:textAlignment w:val="auto"/>
    </w:pPr>
    <w:rPr>
      <w:rFonts w:ascii="Arial" w:hAnsi="Arial" w:cs="Arial"/>
      <w:sz w:val="18"/>
      <w:szCs w:val="18"/>
    </w:rPr>
  </w:style>
  <w:style w:type="character" w:customStyle="1" w:styleId="2-3">
    <w:name w:val="מקו2- תו"/>
    <w:basedOn w:val="DefaultParagraphFont"/>
    <w:link w:val="2-1"/>
    <w:rsid w:val="00672A56"/>
    <w:rPr>
      <w:rFonts w:ascii="Arial" w:eastAsia="Times New Roman" w:hAnsi="Arial" w:cs="Arial"/>
      <w:color w:val="000000"/>
      <w:sz w:val="16"/>
      <w:szCs w:val="18"/>
    </w:rPr>
  </w:style>
  <w:style w:type="character" w:customStyle="1" w:styleId="28">
    <w:name w:val="פיסקת רשימה2 תו"/>
    <w:basedOn w:val="DefaultParagraphFont"/>
    <w:link w:val="27"/>
    <w:rsid w:val="00672A56"/>
    <w:rPr>
      <w:rFonts w:ascii="Times New Roman" w:eastAsia="Times New Roman" w:hAnsi="Times New Roman" w:cs="David"/>
    </w:rPr>
  </w:style>
  <w:style w:type="numbering" w:customStyle="1" w:styleId="51">
    <w:name w:val="ללא רשימה5"/>
    <w:next w:val="NoList"/>
    <w:uiPriority w:val="99"/>
    <w:semiHidden/>
    <w:unhideWhenUsed/>
    <w:rsid w:val="00672A56"/>
  </w:style>
  <w:style w:type="numbering" w:customStyle="1" w:styleId="111">
    <w:name w:val="ללא רשימה11"/>
    <w:next w:val="NoList"/>
    <w:uiPriority w:val="99"/>
    <w:semiHidden/>
    <w:rsid w:val="00672A56"/>
  </w:style>
  <w:style w:type="table" w:customStyle="1" w:styleId="340">
    <w:name w:val="רשימה בטבלה 34"/>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19">
    <w:name w:val="טבלת רשת1"/>
    <w:basedOn w:val="TableNormal"/>
    <w:next w:val="TableGrid"/>
    <w:rsid w:val="00672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ללא רשימה21"/>
    <w:next w:val="NoList"/>
    <w:semiHidden/>
    <w:rsid w:val="00672A56"/>
  </w:style>
  <w:style w:type="table" w:customStyle="1" w:styleId="311">
    <w:name w:val="רשימה בטבלה 3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310">
    <w:name w:val="ללא רשימה31"/>
    <w:next w:val="NoList"/>
    <w:uiPriority w:val="99"/>
    <w:semiHidden/>
    <w:rsid w:val="00672A56"/>
  </w:style>
  <w:style w:type="table" w:customStyle="1" w:styleId="321">
    <w:name w:val="רשימה בטבלה 32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410">
    <w:name w:val="ללא רשימה41"/>
    <w:next w:val="NoList"/>
    <w:uiPriority w:val="99"/>
    <w:semiHidden/>
    <w:unhideWhenUsed/>
    <w:rsid w:val="00672A56"/>
  </w:style>
  <w:style w:type="table" w:customStyle="1" w:styleId="112">
    <w:name w:val="רשת טבלה1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רשימה בטבלה 3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11">
    <w:name w:val="רשת בהירה - הדגשה 111"/>
    <w:uiPriority w:val="99"/>
    <w:rsid w:val="00672A56"/>
    <w:pPr>
      <w:spacing w:after="0" w:line="240" w:lineRule="auto"/>
    </w:pPr>
    <w:rPr>
      <w:rFonts w:ascii="Calibri" w:eastAsia="Calibri" w:hAnsi="Calibri" w:cs="Arial"/>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character" w:customStyle="1" w:styleId="1a">
    <w:name w:val="טקסט הערת סיום תו1"/>
    <w:uiPriority w:val="99"/>
    <w:rsid w:val="00672A56"/>
    <w:rPr>
      <w:rFonts w:cs="David"/>
      <w:noProof/>
      <w:lang w:eastAsia="he-IL"/>
    </w:rPr>
  </w:style>
  <w:style w:type="table" w:customStyle="1" w:styleId="TableNormal1">
    <w:name w:val="Table Normal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paragraph" w:customStyle="1" w:styleId="1b">
    <w:name w:val="רגיל1"/>
    <w:basedOn w:val="Normal"/>
    <w:uiPriority w:val="99"/>
    <w:rsid w:val="00672A56"/>
    <w:pPr>
      <w:jc w:val="left"/>
    </w:pPr>
    <w:rPr>
      <w:rFonts w:ascii="Times New Roman" w:hAnsi="Times New Roman" w:cs="David"/>
      <w:noProof/>
      <w:color w:val="auto"/>
      <w:sz w:val="20"/>
      <w:szCs w:val="24"/>
      <w:lang w:eastAsia="he-IL"/>
    </w:rPr>
  </w:style>
  <w:style w:type="paragraph" w:customStyle="1" w:styleId="aff">
    <w:name w:val="תו תו תו תו תו תו תו תו תו תו תו תו תו תו תו תו תו תו תו תו תו תו תו תו תו תו תו תו תו תו תו תו תו תו"/>
    <w:basedOn w:val="Normal"/>
    <w:next w:val="1b"/>
    <w:autoRedefine/>
    <w:uiPriority w:val="99"/>
    <w:rsid w:val="00672A56"/>
    <w:pPr>
      <w:spacing w:after="160" w:line="240" w:lineRule="exact"/>
      <w:jc w:val="right"/>
    </w:pPr>
    <w:rPr>
      <w:rFonts w:ascii="Tahoma" w:hAnsi="Tahoma"/>
      <w:color w:val="auto"/>
      <w:sz w:val="22"/>
      <w:szCs w:val="24"/>
      <w:lang w:bidi="ar-SA"/>
    </w:rPr>
  </w:style>
  <w:style w:type="paragraph" w:customStyle="1" w:styleId="DefaultParagraphFont0">
    <w:name w:val="Default Paragraph Font תו תו תו תו תו תו תו תו תו תו תו תו תו תו תו תו תו תו תו תו תו תו"/>
    <w:basedOn w:val="Normal"/>
    <w:next w:val="Normal"/>
    <w:autoRedefine/>
    <w:uiPriority w:val="99"/>
    <w:rsid w:val="00672A56"/>
    <w:pPr>
      <w:spacing w:after="160" w:line="240" w:lineRule="exact"/>
      <w:jc w:val="right"/>
    </w:pPr>
    <w:rPr>
      <w:rFonts w:ascii="Tahoma" w:hAnsi="Tahoma"/>
      <w:color w:val="auto"/>
      <w:sz w:val="22"/>
      <w:szCs w:val="24"/>
      <w:lang w:bidi="ar-SA"/>
    </w:rPr>
  </w:style>
  <w:style w:type="paragraph" w:customStyle="1" w:styleId="1c">
    <w:name w:val="1)"/>
    <w:basedOn w:val="a0"/>
    <w:autoRedefine/>
    <w:uiPriority w:val="99"/>
    <w:rsid w:val="00672A56"/>
    <w:pPr>
      <w:numPr>
        <w:numId w:val="0"/>
      </w:numPr>
      <w:tabs>
        <w:tab w:val="left" w:pos="7440"/>
        <w:tab w:val="left" w:pos="8720"/>
      </w:tabs>
      <w:spacing w:before="0" w:line="290" w:lineRule="exact"/>
      <w:ind w:left="3277" w:right="1134" w:hanging="397"/>
    </w:pPr>
    <w:rPr>
      <w:rFonts w:ascii="Times New Roman" w:hAnsi="Times New Roman" w:cs="OronMF"/>
      <w:snapToGrid w:val="0"/>
      <w:color w:val="auto"/>
      <w:sz w:val="20"/>
    </w:rPr>
  </w:style>
  <w:style w:type="paragraph" w:customStyle="1" w:styleId="140">
    <w:name w:val="14"/>
    <w:basedOn w:val="Normal"/>
    <w:uiPriority w:val="99"/>
    <w:rsid w:val="00672A56"/>
    <w:pPr>
      <w:tabs>
        <w:tab w:val="left" w:pos="7440"/>
        <w:tab w:val="left" w:pos="8720"/>
      </w:tabs>
      <w:spacing w:line="340" w:lineRule="exact"/>
      <w:ind w:left="1134" w:right="1134"/>
    </w:pPr>
    <w:rPr>
      <w:rFonts w:ascii="Times New Roman" w:hAnsi="Times New Roman" w:cs="OronMF"/>
      <w:noProof/>
      <w:color w:val="auto"/>
      <w:sz w:val="20"/>
      <w:szCs w:val="24"/>
      <w:lang w:eastAsia="he-IL"/>
    </w:rPr>
  </w:style>
  <w:style w:type="paragraph" w:customStyle="1" w:styleId="1d">
    <w:name w:val="רמה 1"/>
    <w:basedOn w:val="Normal"/>
    <w:uiPriority w:val="99"/>
    <w:rsid w:val="00672A56"/>
    <w:pPr>
      <w:tabs>
        <w:tab w:val="num" w:pos="567"/>
      </w:tabs>
      <w:spacing w:before="240"/>
      <w:ind w:left="567" w:hanging="397"/>
    </w:pPr>
    <w:rPr>
      <w:rFonts w:ascii="Times New Roman" w:hAnsi="Times New Roman" w:cs="Times New Roman"/>
      <w:color w:val="auto"/>
      <w:sz w:val="24"/>
      <w:szCs w:val="24"/>
    </w:rPr>
  </w:style>
  <w:style w:type="character" w:customStyle="1" w:styleId="Heading11">
    <w:name w:val="Heading 1 תו תו1"/>
    <w:aliases w:val="Heading 1 תו1 תו,Heading 1 תו תו תו"/>
    <w:rsid w:val="00672A56"/>
    <w:rPr>
      <w:rFonts w:ascii="Times New Roman" w:eastAsia="Times New Roman" w:hAnsi="Times New Roman" w:cs="Times New Roman"/>
      <w:b/>
      <w:bCs/>
      <w:sz w:val="40"/>
      <w:szCs w:val="40"/>
      <w:shd w:val="clear" w:color="0000FF" w:fill="auto"/>
      <w:lang w:val="en-US" w:eastAsia="x-none"/>
    </w:rPr>
  </w:style>
  <w:style w:type="character" w:customStyle="1" w:styleId="312">
    <w:name w:val="כותרת 3 תו1"/>
    <w:aliases w:val="כותרת 3 תו תו,Heading 3 תו תו,כותרת 3 תו1 תו תו,כותרת 3 תו תו תו תו,Heading 3 תו תו תו תו,Heading 3 תו1"/>
    <w:rsid w:val="00672A56"/>
    <w:rPr>
      <w:rFonts w:cs="OronMF"/>
      <w:b/>
      <w:bCs/>
      <w:noProof/>
      <w:color w:val="000000"/>
      <w:spacing w:val="-4"/>
      <w:sz w:val="19"/>
      <w:szCs w:val="19"/>
      <w:lang w:eastAsia="he-IL"/>
    </w:rPr>
  </w:style>
  <w:style w:type="character" w:customStyle="1" w:styleId="Beur">
    <w:name w:val="Beur"/>
    <w:rsid w:val="00672A56"/>
    <w:rPr>
      <w:rFonts w:ascii="Times New Roman" w:hAnsi="Times New Roman"/>
      <w:b/>
      <w:sz w:val="26"/>
    </w:rPr>
  </w:style>
  <w:style w:type="character" w:customStyle="1" w:styleId="Gadol">
    <w:name w:val="Gadol"/>
    <w:rsid w:val="00672A56"/>
    <w:rPr>
      <w:rFonts w:ascii="Times New Roman" w:hAnsi="Times New Roman"/>
      <w:b/>
      <w:sz w:val="30"/>
    </w:rPr>
  </w:style>
  <w:style w:type="character" w:customStyle="1" w:styleId="Koteret">
    <w:name w:val="Koteret"/>
    <w:rsid w:val="00672A56"/>
    <w:rPr>
      <w:rFonts w:ascii="Times New Roman" w:hAnsi="Times New Roman"/>
      <w:b/>
      <w:sz w:val="18"/>
    </w:rPr>
  </w:style>
  <w:style w:type="paragraph" w:customStyle="1" w:styleId="aff0">
    <w:name w:val="באור"/>
    <w:basedOn w:val="Normal"/>
    <w:uiPriority w:val="99"/>
    <w:rsid w:val="00672A56"/>
    <w:pPr>
      <w:widowControl w:val="0"/>
      <w:overflowPunct w:val="0"/>
      <w:autoSpaceDE w:val="0"/>
      <w:autoSpaceDN w:val="0"/>
      <w:adjustRightInd w:val="0"/>
      <w:jc w:val="left"/>
      <w:textAlignment w:val="baseline"/>
    </w:pPr>
    <w:rPr>
      <w:rFonts w:ascii="Times New Roman" w:hAnsi="Times New Roman" w:cs="David"/>
      <w:b/>
      <w:bCs/>
      <w:color w:val="auto"/>
      <w:sz w:val="26"/>
      <w:szCs w:val="26"/>
      <w:lang w:eastAsia="he-IL"/>
    </w:rPr>
  </w:style>
  <w:style w:type="paragraph" w:customStyle="1" w:styleId="aff1">
    <w:name w:val="גדול"/>
    <w:basedOn w:val="Normal"/>
    <w:uiPriority w:val="99"/>
    <w:rsid w:val="00672A56"/>
    <w:pPr>
      <w:widowControl w:val="0"/>
      <w:overflowPunct w:val="0"/>
      <w:autoSpaceDE w:val="0"/>
      <w:autoSpaceDN w:val="0"/>
      <w:adjustRightInd w:val="0"/>
      <w:jc w:val="left"/>
      <w:textAlignment w:val="baseline"/>
    </w:pPr>
    <w:rPr>
      <w:rFonts w:ascii="Times New Roman" w:hAnsi="Times New Roman" w:cs="David"/>
      <w:b/>
      <w:bCs/>
      <w:color w:val="auto"/>
      <w:sz w:val="30"/>
      <w:szCs w:val="30"/>
      <w:lang w:eastAsia="he-IL"/>
    </w:rPr>
  </w:style>
  <w:style w:type="paragraph" w:customStyle="1" w:styleId="90">
    <w:name w:val="מדויק 9"/>
    <w:basedOn w:val="a6"/>
    <w:uiPriority w:val="99"/>
    <w:rsid w:val="00672A56"/>
    <w:pPr>
      <w:widowControl w:val="0"/>
      <w:suppressAutoHyphens/>
      <w:overflowPunct w:val="0"/>
      <w:autoSpaceDE w:val="0"/>
      <w:autoSpaceDN w:val="0"/>
      <w:adjustRightInd w:val="0"/>
      <w:spacing w:line="180" w:lineRule="exact"/>
      <w:ind w:left="-108"/>
      <w:textAlignment w:val="baseline"/>
    </w:pPr>
    <w:rPr>
      <w:rFonts w:ascii="Times New Roman" w:hAnsi="Times New Roman" w:cs="David"/>
      <w:b/>
      <w:bCs/>
      <w:snapToGrid/>
      <w:color w:val="FF6600"/>
      <w:szCs w:val="18"/>
    </w:rPr>
  </w:style>
  <w:style w:type="paragraph" w:customStyle="1" w:styleId="aff2">
    <w:name w:val="a"/>
    <w:basedOn w:val="Normal"/>
    <w:uiPriority w:val="99"/>
    <w:rsid w:val="00672A56"/>
    <w:pPr>
      <w:spacing w:before="100" w:beforeAutospacing="1" w:after="100" w:afterAutospacing="1"/>
      <w:jc w:val="left"/>
    </w:pPr>
    <w:rPr>
      <w:rFonts w:ascii="Arial Unicode MS" w:eastAsia="Arial Unicode MS" w:hAnsi="Arial Unicode MS" w:cs="Arial Unicode MS"/>
      <w:color w:val="auto"/>
      <w:sz w:val="24"/>
      <w:szCs w:val="24"/>
    </w:rPr>
  </w:style>
  <w:style w:type="character" w:customStyle="1" w:styleId="aff3">
    <w:name w:val="ëåúøú"/>
    <w:rsid w:val="00672A56"/>
    <w:rPr>
      <w:rFonts w:cs="David"/>
      <w:bCs/>
      <w:szCs w:val="18"/>
    </w:rPr>
  </w:style>
  <w:style w:type="paragraph" w:customStyle="1" w:styleId="1e">
    <w:name w:val="היסט1"/>
    <w:basedOn w:val="Normal"/>
    <w:uiPriority w:val="99"/>
    <w:rsid w:val="00672A56"/>
    <w:pPr>
      <w:tabs>
        <w:tab w:val="num" w:pos="1119"/>
      </w:tabs>
      <w:spacing w:line="360" w:lineRule="auto"/>
      <w:ind w:left="1119" w:hanging="720"/>
      <w:jc w:val="left"/>
    </w:pPr>
    <w:rPr>
      <w:rFonts w:ascii="Times New Roman" w:eastAsia="SimSun" w:hAnsi="Times New Roman" w:cs="Times New Roman"/>
      <w:noProof/>
      <w:color w:val="auto"/>
      <w:sz w:val="24"/>
      <w:szCs w:val="24"/>
      <w:lang w:eastAsia="he-IL"/>
    </w:rPr>
  </w:style>
  <w:style w:type="paragraph" w:customStyle="1" w:styleId="2a">
    <w:name w:val="רמה 2"/>
    <w:basedOn w:val="1d"/>
    <w:uiPriority w:val="99"/>
    <w:rsid w:val="00672A56"/>
    <w:pPr>
      <w:numPr>
        <w:ilvl w:val="1"/>
      </w:numPr>
      <w:tabs>
        <w:tab w:val="num" w:pos="360"/>
        <w:tab w:val="num" w:pos="567"/>
      </w:tabs>
      <w:ind w:left="567" w:hanging="397"/>
    </w:pPr>
  </w:style>
  <w:style w:type="paragraph" w:customStyle="1" w:styleId="3a">
    <w:name w:val="רמה 3"/>
    <w:basedOn w:val="2a"/>
    <w:uiPriority w:val="99"/>
    <w:rsid w:val="00672A56"/>
    <w:pPr>
      <w:numPr>
        <w:ilvl w:val="2"/>
      </w:numPr>
      <w:tabs>
        <w:tab w:val="num" w:pos="360"/>
      </w:tabs>
      <w:ind w:left="567" w:hanging="397"/>
    </w:pPr>
  </w:style>
  <w:style w:type="paragraph" w:customStyle="1" w:styleId="44">
    <w:name w:val="רמה 4"/>
    <w:basedOn w:val="3a"/>
    <w:uiPriority w:val="99"/>
    <w:rsid w:val="00672A56"/>
    <w:pPr>
      <w:numPr>
        <w:ilvl w:val="3"/>
      </w:numPr>
      <w:tabs>
        <w:tab w:val="num" w:pos="360"/>
      </w:tabs>
      <w:ind w:left="567" w:hanging="397"/>
    </w:pPr>
  </w:style>
  <w:style w:type="paragraph" w:customStyle="1" w:styleId="52">
    <w:name w:val="רמה 5"/>
    <w:basedOn w:val="44"/>
    <w:uiPriority w:val="99"/>
    <w:rsid w:val="00672A56"/>
    <w:pPr>
      <w:numPr>
        <w:ilvl w:val="4"/>
      </w:numPr>
      <w:tabs>
        <w:tab w:val="num" w:pos="360"/>
      </w:tabs>
      <w:ind w:left="567" w:hanging="397"/>
    </w:pPr>
  </w:style>
  <w:style w:type="paragraph" w:customStyle="1" w:styleId="aff4">
    <w:name w:val="טקסט"/>
    <w:basedOn w:val="Normal"/>
    <w:uiPriority w:val="99"/>
    <w:rsid w:val="00672A56"/>
    <w:pPr>
      <w:widowControl w:val="0"/>
      <w:spacing w:line="260" w:lineRule="auto"/>
      <w:jc w:val="left"/>
    </w:pPr>
    <w:rPr>
      <w:rFonts w:ascii="Times New Roman" w:hAnsi="Times New Roman" w:cs="David"/>
      <w:color w:val="auto"/>
      <w:sz w:val="20"/>
      <w:szCs w:val="22"/>
    </w:rPr>
  </w:style>
  <w:style w:type="paragraph" w:styleId="BodyTextFirstIndent2">
    <w:name w:val="Body Text First Indent 2"/>
    <w:basedOn w:val="BodyTextIndent"/>
    <w:link w:val="BodyTextFirstIndent2Char"/>
    <w:uiPriority w:val="99"/>
    <w:rsid w:val="00672A56"/>
    <w:pPr>
      <w:widowControl/>
      <w:spacing w:after="120" w:line="240" w:lineRule="auto"/>
      <w:ind w:left="360" w:firstLine="210"/>
      <w:jc w:val="left"/>
    </w:pPr>
    <w:rPr>
      <w:rFonts w:ascii="Times New Roman" w:hAnsi="Times New Roman" w:cs="Times New Roman"/>
      <w:snapToGrid/>
      <w:color w:val="auto"/>
      <w:sz w:val="24"/>
      <w:szCs w:val="24"/>
      <w:lang w:eastAsia="x-none" w:bidi="ar-SA"/>
    </w:rPr>
  </w:style>
  <w:style w:type="character" w:customStyle="1" w:styleId="BodyTextFirstIndent2Char">
    <w:name w:val="Body Text First Indent 2 Char"/>
    <w:basedOn w:val="BodyTextIndentChar"/>
    <w:link w:val="BodyTextFirstIndent2"/>
    <w:uiPriority w:val="99"/>
    <w:rsid w:val="00672A56"/>
    <w:rPr>
      <w:rFonts w:ascii="Times New Roman" w:eastAsia="Times New Roman" w:hAnsi="Times New Roman" w:cs="Times New Roman"/>
      <w:snapToGrid/>
      <w:color w:val="000000"/>
      <w:sz w:val="24"/>
      <w:szCs w:val="24"/>
      <w:lang w:val="en-US" w:eastAsia="x-none" w:bidi="ar-SA"/>
    </w:rPr>
  </w:style>
  <w:style w:type="paragraph" w:styleId="List">
    <w:name w:val="List"/>
    <w:basedOn w:val="Normal"/>
    <w:uiPriority w:val="99"/>
    <w:rsid w:val="00672A56"/>
    <w:pPr>
      <w:ind w:left="283" w:hanging="283"/>
      <w:jc w:val="left"/>
    </w:pPr>
    <w:rPr>
      <w:rFonts w:ascii="Times New Roman" w:hAnsi="Times New Roman" w:cs="Times New Roman"/>
      <w:color w:val="auto"/>
      <w:sz w:val="24"/>
      <w:szCs w:val="24"/>
      <w:lang w:bidi="ar-SA"/>
    </w:rPr>
  </w:style>
  <w:style w:type="paragraph" w:styleId="List2">
    <w:name w:val="List 2"/>
    <w:basedOn w:val="Normal"/>
    <w:uiPriority w:val="99"/>
    <w:rsid w:val="00672A56"/>
    <w:pPr>
      <w:ind w:left="566" w:hanging="283"/>
      <w:jc w:val="left"/>
    </w:pPr>
    <w:rPr>
      <w:rFonts w:ascii="Times New Roman" w:hAnsi="Times New Roman" w:cs="Times New Roman"/>
      <w:color w:val="auto"/>
      <w:sz w:val="24"/>
      <w:szCs w:val="24"/>
      <w:lang w:bidi="ar-SA"/>
    </w:rPr>
  </w:style>
  <w:style w:type="paragraph" w:styleId="List3">
    <w:name w:val="List 3"/>
    <w:basedOn w:val="Normal"/>
    <w:uiPriority w:val="99"/>
    <w:rsid w:val="00672A56"/>
    <w:pPr>
      <w:ind w:left="849" w:hanging="283"/>
      <w:jc w:val="left"/>
    </w:pPr>
    <w:rPr>
      <w:rFonts w:ascii="Times New Roman" w:hAnsi="Times New Roman" w:cs="Times New Roman"/>
      <w:color w:val="auto"/>
      <w:sz w:val="24"/>
      <w:szCs w:val="24"/>
      <w:lang w:bidi="ar-SA"/>
    </w:rPr>
  </w:style>
  <w:style w:type="paragraph" w:styleId="List4">
    <w:name w:val="List 4"/>
    <w:basedOn w:val="Normal"/>
    <w:uiPriority w:val="99"/>
    <w:rsid w:val="00672A56"/>
    <w:pPr>
      <w:ind w:left="1132" w:hanging="283"/>
      <w:jc w:val="left"/>
    </w:pPr>
    <w:rPr>
      <w:rFonts w:ascii="Times New Roman" w:hAnsi="Times New Roman" w:cs="Times New Roman"/>
      <w:color w:val="auto"/>
      <w:sz w:val="24"/>
      <w:szCs w:val="24"/>
      <w:lang w:bidi="ar-SA"/>
    </w:rPr>
  </w:style>
  <w:style w:type="paragraph" w:styleId="List5">
    <w:name w:val="List 5"/>
    <w:basedOn w:val="Normal"/>
    <w:uiPriority w:val="99"/>
    <w:rsid w:val="00672A56"/>
    <w:pPr>
      <w:ind w:left="1415" w:hanging="283"/>
      <w:jc w:val="left"/>
    </w:pPr>
    <w:rPr>
      <w:rFonts w:ascii="Times New Roman" w:hAnsi="Times New Roman" w:cs="Times New Roman"/>
      <w:color w:val="auto"/>
      <w:sz w:val="24"/>
      <w:szCs w:val="24"/>
      <w:lang w:bidi="ar-SA"/>
    </w:rPr>
  </w:style>
  <w:style w:type="paragraph" w:styleId="Salutation">
    <w:name w:val="Salutation"/>
    <w:basedOn w:val="Normal"/>
    <w:next w:val="Normal"/>
    <w:link w:val="SalutationChar"/>
    <w:uiPriority w:val="99"/>
    <w:rsid w:val="00672A56"/>
    <w:pPr>
      <w:jc w:val="left"/>
    </w:pPr>
    <w:rPr>
      <w:rFonts w:ascii="Times New Roman" w:hAnsi="Times New Roman" w:cs="Times New Roman"/>
      <w:color w:val="auto"/>
      <w:sz w:val="24"/>
      <w:szCs w:val="24"/>
      <w:lang w:eastAsia="x-none" w:bidi="ar-SA"/>
    </w:rPr>
  </w:style>
  <w:style w:type="character" w:customStyle="1" w:styleId="SalutationChar">
    <w:name w:val="Salutation Char"/>
    <w:basedOn w:val="DefaultParagraphFont"/>
    <w:link w:val="Salutation"/>
    <w:uiPriority w:val="99"/>
    <w:rsid w:val="00672A56"/>
    <w:rPr>
      <w:rFonts w:ascii="Times New Roman" w:eastAsia="Times New Roman" w:hAnsi="Times New Roman" w:cs="Times New Roman"/>
      <w:sz w:val="24"/>
      <w:szCs w:val="24"/>
      <w:lang w:val="en-US" w:eastAsia="x-none" w:bidi="ar-SA"/>
    </w:rPr>
  </w:style>
  <w:style w:type="paragraph" w:styleId="ListContinue2">
    <w:name w:val="List Continue 2"/>
    <w:basedOn w:val="Normal"/>
    <w:uiPriority w:val="99"/>
    <w:rsid w:val="00672A56"/>
    <w:pPr>
      <w:spacing w:after="120"/>
      <w:ind w:left="566"/>
      <w:jc w:val="left"/>
    </w:pPr>
    <w:rPr>
      <w:rFonts w:ascii="Times New Roman" w:hAnsi="Times New Roman" w:cs="Times New Roman"/>
      <w:color w:val="auto"/>
      <w:sz w:val="24"/>
      <w:szCs w:val="24"/>
      <w:lang w:bidi="ar-SA"/>
    </w:rPr>
  </w:style>
  <w:style w:type="paragraph" w:styleId="ListContinue3">
    <w:name w:val="List Continue 3"/>
    <w:basedOn w:val="Normal"/>
    <w:uiPriority w:val="99"/>
    <w:rsid w:val="00672A56"/>
    <w:pPr>
      <w:spacing w:after="120"/>
      <w:ind w:left="849"/>
      <w:jc w:val="left"/>
    </w:pPr>
    <w:rPr>
      <w:rFonts w:ascii="Times New Roman" w:hAnsi="Times New Roman" w:cs="Times New Roman"/>
      <w:color w:val="auto"/>
      <w:sz w:val="24"/>
      <w:szCs w:val="24"/>
      <w:lang w:bidi="ar-SA"/>
    </w:rPr>
  </w:style>
  <w:style w:type="paragraph" w:customStyle="1" w:styleId="InsideAddress">
    <w:name w:val="Inside Address"/>
    <w:basedOn w:val="Normal"/>
    <w:uiPriority w:val="99"/>
    <w:rsid w:val="00672A56"/>
    <w:pPr>
      <w:jc w:val="left"/>
    </w:pPr>
    <w:rPr>
      <w:rFonts w:ascii="Times New Roman" w:hAnsi="Times New Roman" w:cs="Times New Roman"/>
      <w:color w:val="auto"/>
      <w:sz w:val="24"/>
      <w:szCs w:val="24"/>
      <w:lang w:bidi="ar-SA"/>
    </w:rPr>
  </w:style>
  <w:style w:type="paragraph" w:customStyle="1" w:styleId="AttentionLine">
    <w:name w:val="Attention Line"/>
    <w:basedOn w:val="BodyText"/>
    <w:uiPriority w:val="99"/>
    <w:rsid w:val="00672A56"/>
    <w:pPr>
      <w:overflowPunct w:val="0"/>
      <w:autoSpaceDE w:val="0"/>
      <w:autoSpaceDN w:val="0"/>
      <w:adjustRightInd w:val="0"/>
      <w:spacing w:line="360" w:lineRule="auto"/>
      <w:textAlignment w:val="baseline"/>
    </w:pPr>
    <w:rPr>
      <w:rFonts w:ascii="Times New Roman" w:hAnsi="Times New Roman" w:cs="Times New Roman"/>
      <w:color w:val="auto"/>
      <w:sz w:val="24"/>
      <w:szCs w:val="24"/>
      <w:lang w:eastAsia="he-IL"/>
    </w:rPr>
  </w:style>
  <w:style w:type="paragraph" w:customStyle="1" w:styleId="SubjectLine">
    <w:name w:val="Subject Line"/>
    <w:basedOn w:val="Normal"/>
    <w:uiPriority w:val="99"/>
    <w:rsid w:val="00672A56"/>
    <w:pPr>
      <w:jc w:val="left"/>
    </w:pPr>
    <w:rPr>
      <w:rFonts w:ascii="Times New Roman" w:hAnsi="Times New Roman" w:cs="Times New Roman"/>
      <w:color w:val="auto"/>
      <w:sz w:val="24"/>
      <w:szCs w:val="24"/>
      <w:lang w:bidi="ar-SA"/>
    </w:rPr>
  </w:style>
  <w:style w:type="paragraph" w:customStyle="1" w:styleId="ReferenceLine">
    <w:name w:val="Reference Line"/>
    <w:basedOn w:val="BodyText"/>
    <w:uiPriority w:val="99"/>
    <w:rsid w:val="00672A56"/>
    <w:pPr>
      <w:overflowPunct w:val="0"/>
      <w:autoSpaceDE w:val="0"/>
      <w:autoSpaceDN w:val="0"/>
      <w:adjustRightInd w:val="0"/>
      <w:spacing w:line="360" w:lineRule="auto"/>
      <w:textAlignment w:val="baseline"/>
    </w:pPr>
    <w:rPr>
      <w:rFonts w:ascii="Times New Roman" w:hAnsi="Times New Roman" w:cs="Times New Roman"/>
      <w:color w:val="auto"/>
      <w:sz w:val="24"/>
      <w:szCs w:val="24"/>
      <w:lang w:eastAsia="he-IL"/>
    </w:rPr>
  </w:style>
  <w:style w:type="paragraph" w:styleId="BodyTextFirstIndent">
    <w:name w:val="Body Text First Indent"/>
    <w:basedOn w:val="BodyText"/>
    <w:link w:val="BodyTextFirstIndentChar"/>
    <w:uiPriority w:val="99"/>
    <w:rsid w:val="00672A56"/>
    <w:pPr>
      <w:spacing w:after="120"/>
      <w:ind w:firstLine="210"/>
      <w:jc w:val="left"/>
    </w:pPr>
    <w:rPr>
      <w:rFonts w:ascii="Times New Roman" w:hAnsi="Times New Roman" w:cs="Times New Roman"/>
      <w:color w:val="auto"/>
      <w:sz w:val="24"/>
      <w:szCs w:val="24"/>
      <w:lang w:eastAsia="x-none" w:bidi="ar-SA"/>
    </w:rPr>
  </w:style>
  <w:style w:type="character" w:customStyle="1" w:styleId="BodyTextFirstIndentChar">
    <w:name w:val="Body Text First Indent Char"/>
    <w:basedOn w:val="BodyTextChar"/>
    <w:link w:val="BodyTextFirstIndent"/>
    <w:uiPriority w:val="99"/>
    <w:rsid w:val="00672A56"/>
    <w:rPr>
      <w:rFonts w:ascii="Times New Roman" w:eastAsia="Times New Roman" w:hAnsi="Times New Roman" w:cs="Times New Roman"/>
      <w:color w:val="000000"/>
      <w:sz w:val="24"/>
      <w:szCs w:val="24"/>
      <w:lang w:val="en-US" w:eastAsia="x-none" w:bidi="ar-SA"/>
    </w:rPr>
  </w:style>
  <w:style w:type="character" w:customStyle="1" w:styleId="1f">
    <w:name w:val="גוף טקסט תו1"/>
    <w:rsid w:val="00672A56"/>
    <w:rPr>
      <w:rFonts w:cs="David"/>
      <w:snapToGrid w:val="0"/>
      <w:sz w:val="24"/>
      <w:szCs w:val="18"/>
      <w:lang w:eastAsia="he-IL"/>
    </w:rPr>
  </w:style>
  <w:style w:type="paragraph" w:styleId="NoteHeading">
    <w:name w:val="Note Heading"/>
    <w:basedOn w:val="Normal"/>
    <w:next w:val="Normal"/>
    <w:link w:val="NoteHeadingChar"/>
    <w:uiPriority w:val="99"/>
    <w:rsid w:val="00672A56"/>
    <w:pPr>
      <w:jc w:val="left"/>
    </w:pPr>
    <w:rPr>
      <w:rFonts w:ascii="Times New Roman" w:hAnsi="Times New Roman" w:cs="Times New Roman"/>
      <w:color w:val="auto"/>
      <w:sz w:val="24"/>
      <w:szCs w:val="24"/>
      <w:lang w:eastAsia="x-none" w:bidi="ar-SA"/>
    </w:rPr>
  </w:style>
  <w:style w:type="character" w:customStyle="1" w:styleId="NoteHeadingChar">
    <w:name w:val="Note Heading Char"/>
    <w:basedOn w:val="DefaultParagraphFont"/>
    <w:link w:val="NoteHeading"/>
    <w:uiPriority w:val="99"/>
    <w:rsid w:val="00672A56"/>
    <w:rPr>
      <w:rFonts w:ascii="Times New Roman" w:eastAsia="Times New Roman" w:hAnsi="Times New Roman" w:cs="Times New Roman"/>
      <w:sz w:val="24"/>
      <w:szCs w:val="24"/>
      <w:lang w:val="en-US" w:eastAsia="x-none" w:bidi="ar-SA"/>
    </w:rPr>
  </w:style>
  <w:style w:type="paragraph" w:customStyle="1" w:styleId="1f0">
    <w:name w:val="גוף טקסט1"/>
    <w:uiPriority w:val="99"/>
    <w:rsid w:val="00672A56"/>
    <w:pPr>
      <w:tabs>
        <w:tab w:val="left" w:pos="397"/>
      </w:tabs>
      <w:autoSpaceDE w:val="0"/>
      <w:autoSpaceDN w:val="0"/>
      <w:adjustRightInd w:val="0"/>
      <w:spacing w:after="0" w:line="260" w:lineRule="atLeast"/>
    </w:pPr>
    <w:rPr>
      <w:rFonts w:ascii="Univers 45 Light" w:eastAsia="Times New Roman" w:hAnsi="Univers 45 Light" w:cs="Univers 45 Light"/>
      <w:color w:val="000000"/>
      <w:sz w:val="20"/>
      <w:szCs w:val="20"/>
      <w:lang w:eastAsia="en-NZ" w:bidi="ar-SA"/>
    </w:rPr>
  </w:style>
  <w:style w:type="character" w:customStyle="1" w:styleId="2Char">
    <w:name w:val="באור ר2 Char"/>
    <w:link w:val="2b"/>
    <w:locked/>
    <w:rsid w:val="00672A56"/>
    <w:rPr>
      <w:rFonts w:ascii="Univers LT Pro 45 Light" w:hAnsi="Univers LT Pro 45 Light"/>
      <w:sz w:val="18"/>
    </w:rPr>
  </w:style>
  <w:style w:type="paragraph" w:customStyle="1" w:styleId="2b">
    <w:name w:val="באור ר2"/>
    <w:basedOn w:val="Normal"/>
    <w:link w:val="2Char"/>
    <w:rsid w:val="00672A56"/>
    <w:pPr>
      <w:spacing w:line="280" w:lineRule="atLeast"/>
      <w:ind w:left="601" w:right="-79" w:hanging="340"/>
    </w:pPr>
    <w:rPr>
      <w:rFonts w:ascii="Univers LT Pro 45 Light" w:eastAsiaTheme="minorHAnsi" w:hAnsi="Univers LT Pro 45 Light" w:cstheme="minorBidi"/>
      <w:color w:val="auto"/>
      <w:szCs w:val="22"/>
    </w:rPr>
  </w:style>
  <w:style w:type="paragraph" w:customStyle="1" w:styleId="-20">
    <w:name w:val="מקו-2"/>
    <w:basedOn w:val="-2-"/>
    <w:link w:val="-21"/>
    <w:rsid w:val="00672A56"/>
    <w:pPr>
      <w:numPr>
        <w:numId w:val="0"/>
      </w:numPr>
      <w:ind w:left="360" w:hanging="360"/>
    </w:pPr>
  </w:style>
  <w:style w:type="character" w:customStyle="1" w:styleId="-2-0">
    <w:name w:val="מקו-2- תו"/>
    <w:basedOn w:val="28"/>
    <w:link w:val="-2-"/>
    <w:rsid w:val="00672A56"/>
    <w:rPr>
      <w:rFonts w:ascii="Arial" w:eastAsia="Times New Roman" w:hAnsi="Arial" w:cs="Arial"/>
      <w:sz w:val="18"/>
      <w:szCs w:val="18"/>
    </w:rPr>
  </w:style>
  <w:style w:type="paragraph" w:customStyle="1" w:styleId="1f1">
    <w:name w:val="סעיף1)"/>
    <w:basedOn w:val="Normal"/>
    <w:link w:val="1f2"/>
    <w:rsid w:val="00672A56"/>
    <w:pPr>
      <w:tabs>
        <w:tab w:val="left" w:pos="548"/>
        <w:tab w:val="left" w:pos="1108"/>
      </w:tabs>
      <w:spacing w:after="120" w:line="340" w:lineRule="exact"/>
      <w:ind w:left="340" w:hanging="340"/>
    </w:pPr>
    <w:rPr>
      <w:rFonts w:cstheme="minorBidi"/>
      <w:noProof/>
      <w:color w:val="auto"/>
      <w:szCs w:val="18"/>
      <w:lang w:eastAsia="he-IL"/>
    </w:rPr>
  </w:style>
  <w:style w:type="character" w:customStyle="1" w:styleId="-21">
    <w:name w:val="מקו-2 תו"/>
    <w:basedOn w:val="-2-0"/>
    <w:link w:val="-20"/>
    <w:rsid w:val="00672A56"/>
    <w:rPr>
      <w:rFonts w:ascii="Arial" w:eastAsia="Times New Roman" w:hAnsi="Arial" w:cs="Arial"/>
      <w:sz w:val="18"/>
      <w:szCs w:val="18"/>
    </w:rPr>
  </w:style>
  <w:style w:type="character" w:customStyle="1" w:styleId="1f2">
    <w:name w:val="סעיף1) תו"/>
    <w:basedOn w:val="DefaultParagraphFont"/>
    <w:link w:val="1f1"/>
    <w:rsid w:val="00672A56"/>
    <w:rPr>
      <w:rFonts w:ascii="Arial" w:eastAsia="Times New Roman" w:hAnsi="Arial"/>
      <w:noProof/>
      <w:sz w:val="18"/>
      <w:szCs w:val="18"/>
      <w:lang w:eastAsia="he-IL"/>
    </w:rPr>
  </w:style>
  <w:style w:type="paragraph" w:customStyle="1" w:styleId="3b">
    <w:name w:val="פיסקת רשימה3"/>
    <w:basedOn w:val="Normal"/>
    <w:uiPriority w:val="99"/>
    <w:rsid w:val="00672A56"/>
    <w:pPr>
      <w:widowControl w:val="0"/>
      <w:overflowPunct w:val="0"/>
      <w:autoSpaceDE w:val="0"/>
      <w:autoSpaceDN w:val="0"/>
      <w:adjustRightInd w:val="0"/>
      <w:ind w:left="720"/>
      <w:jc w:val="left"/>
      <w:textAlignment w:val="baseline"/>
    </w:pPr>
    <w:rPr>
      <w:rFonts w:ascii="Times New Roman" w:hAnsi="Times New Roman" w:cs="David"/>
      <w:color w:val="auto"/>
      <w:sz w:val="22"/>
      <w:szCs w:val="22"/>
    </w:rPr>
  </w:style>
  <w:style w:type="character" w:customStyle="1" w:styleId="121">
    <w:name w:val="כותרת 1 תו2"/>
    <w:aliases w:val="H2 תו1,כותרת 1 תו1 תו1,כותרת 1 תו תו תו1,כותרת 1 תו תו תו תו תו תו תו תו תו תו תו תו תו1,כותרת 1 תו תו תו תו תו תו תו תו תו תו תו תו תו Char Char Char Char Char Char Char Char Char Char Char Char Char Char Char Char Char Char תו1"/>
    <w:basedOn w:val="DefaultParagraphFont"/>
    <w:rsid w:val="00672A56"/>
    <w:rPr>
      <w:rFonts w:ascii="Calibri Light" w:eastAsia="Times New Roman" w:hAnsi="Calibri Light" w:cs="Times New Roman"/>
      <w:b/>
      <w:bCs/>
      <w:noProof/>
      <w:color w:val="2E74B5"/>
      <w:sz w:val="28"/>
      <w:szCs w:val="28"/>
      <w:lang w:eastAsia="he-IL"/>
    </w:rPr>
  </w:style>
  <w:style w:type="character" w:customStyle="1" w:styleId="411">
    <w:name w:val="כותרת 4 תו1"/>
    <w:aliases w:val="Heading 4 תו1"/>
    <w:basedOn w:val="DefaultParagraphFont"/>
    <w:semiHidden/>
    <w:rsid w:val="00672A56"/>
    <w:rPr>
      <w:rFonts w:ascii="Calibri Light" w:eastAsia="Times New Roman" w:hAnsi="Calibri Light" w:cs="Times New Roman"/>
      <w:b/>
      <w:bCs/>
      <w:i/>
      <w:iCs/>
      <w:noProof/>
      <w:color w:val="5B9BD5"/>
      <w:szCs w:val="24"/>
      <w:lang w:eastAsia="he-IL"/>
    </w:rPr>
  </w:style>
  <w:style w:type="character" w:customStyle="1" w:styleId="510">
    <w:name w:val="כותרת 5 תו1"/>
    <w:aliases w:val="Heading 5 תו1"/>
    <w:basedOn w:val="DefaultParagraphFont"/>
    <w:semiHidden/>
    <w:rsid w:val="00672A56"/>
    <w:rPr>
      <w:rFonts w:ascii="Calibri Light" w:eastAsia="Times New Roman" w:hAnsi="Calibri Light" w:cs="Times New Roman"/>
      <w:noProof/>
      <w:color w:val="1F4D78"/>
      <w:szCs w:val="24"/>
      <w:lang w:eastAsia="he-IL"/>
    </w:rPr>
  </w:style>
  <w:style w:type="character" w:customStyle="1" w:styleId="61">
    <w:name w:val="כותרת 6 תו1"/>
    <w:aliases w:val="Heading 6 תו1"/>
    <w:basedOn w:val="DefaultParagraphFont"/>
    <w:semiHidden/>
    <w:rsid w:val="00672A56"/>
    <w:rPr>
      <w:rFonts w:ascii="Calibri Light" w:eastAsia="Times New Roman" w:hAnsi="Calibri Light" w:cs="Times New Roman"/>
      <w:i/>
      <w:iCs/>
      <w:noProof/>
      <w:color w:val="1F4D78"/>
      <w:szCs w:val="24"/>
      <w:lang w:eastAsia="he-IL"/>
    </w:rPr>
  </w:style>
  <w:style w:type="character" w:customStyle="1" w:styleId="71">
    <w:name w:val="כותרת 7 תו1"/>
    <w:aliases w:val="Heading 7 תו1"/>
    <w:basedOn w:val="DefaultParagraphFont"/>
    <w:semiHidden/>
    <w:rsid w:val="00672A56"/>
    <w:rPr>
      <w:rFonts w:ascii="Calibri Light" w:eastAsia="Times New Roman" w:hAnsi="Calibri Light" w:cs="Times New Roman"/>
      <w:i/>
      <w:iCs/>
      <w:noProof/>
      <w:color w:val="404040"/>
      <w:szCs w:val="24"/>
      <w:lang w:eastAsia="he-IL"/>
    </w:rPr>
  </w:style>
  <w:style w:type="character" w:customStyle="1" w:styleId="81">
    <w:name w:val="כותרת 8 תו1"/>
    <w:aliases w:val="Heading 8 תו1"/>
    <w:basedOn w:val="DefaultParagraphFont"/>
    <w:semiHidden/>
    <w:rsid w:val="00672A56"/>
    <w:rPr>
      <w:rFonts w:ascii="Calibri Light" w:eastAsia="Times New Roman" w:hAnsi="Calibri Light" w:cs="Times New Roman"/>
      <w:noProof/>
      <w:color w:val="404040"/>
      <w:lang w:eastAsia="he-IL"/>
    </w:rPr>
  </w:style>
  <w:style w:type="character" w:customStyle="1" w:styleId="91">
    <w:name w:val="כותרת 9 תו1"/>
    <w:aliases w:val="Heading 9 תו1"/>
    <w:basedOn w:val="DefaultParagraphFont"/>
    <w:semiHidden/>
    <w:rsid w:val="00672A56"/>
    <w:rPr>
      <w:rFonts w:ascii="Calibri Light" w:eastAsia="Times New Roman" w:hAnsi="Calibri Light" w:cs="Times New Roman"/>
      <w:i/>
      <w:iCs/>
      <w:noProof/>
      <w:color w:val="404040"/>
      <w:lang w:eastAsia="he-IL"/>
    </w:rPr>
  </w:style>
  <w:style w:type="character" w:customStyle="1" w:styleId="1f3">
    <w:name w:val="כותרת עליונה תו1"/>
    <w:aliases w:val="Header תו1"/>
    <w:basedOn w:val="DefaultParagraphFont"/>
    <w:semiHidden/>
    <w:rsid w:val="00672A56"/>
    <w:rPr>
      <w:rFonts w:cs="David"/>
      <w:noProof/>
      <w:szCs w:val="24"/>
      <w:lang w:eastAsia="he-IL"/>
    </w:rPr>
  </w:style>
  <w:style w:type="character" w:customStyle="1" w:styleId="1f4">
    <w:name w:val="כותרת תחתונה תו1"/>
    <w:aliases w:val="Footer תו1"/>
    <w:basedOn w:val="DefaultParagraphFont"/>
    <w:uiPriority w:val="99"/>
    <w:semiHidden/>
    <w:rsid w:val="00672A56"/>
    <w:rPr>
      <w:rFonts w:cs="David"/>
      <w:noProof/>
      <w:szCs w:val="24"/>
      <w:lang w:eastAsia="he-IL"/>
    </w:rPr>
  </w:style>
  <w:style w:type="character" w:customStyle="1" w:styleId="1f5">
    <w:name w:val="כניסה בגוף טקסט תו1"/>
    <w:aliases w:val="Body Text Indent תו1"/>
    <w:basedOn w:val="DefaultParagraphFont"/>
    <w:uiPriority w:val="99"/>
    <w:semiHidden/>
    <w:rsid w:val="00672A56"/>
    <w:rPr>
      <w:rFonts w:cs="David"/>
      <w:noProof/>
      <w:szCs w:val="24"/>
      <w:lang w:eastAsia="he-IL"/>
    </w:rPr>
  </w:style>
  <w:style w:type="character" w:customStyle="1" w:styleId="313">
    <w:name w:val="כניסה בגוף טקסט 3 תו1"/>
    <w:aliases w:val="Body Text Indent 3 תו1"/>
    <w:basedOn w:val="DefaultParagraphFont"/>
    <w:semiHidden/>
    <w:rsid w:val="00672A56"/>
    <w:rPr>
      <w:rFonts w:cs="David"/>
      <w:noProof/>
      <w:sz w:val="16"/>
      <w:szCs w:val="16"/>
      <w:lang w:eastAsia="he-IL"/>
    </w:rPr>
  </w:style>
  <w:style w:type="numbering" w:customStyle="1" w:styleId="1110">
    <w:name w:val="ללא רשימה111"/>
    <w:next w:val="NoList"/>
    <w:uiPriority w:val="99"/>
    <w:semiHidden/>
    <w:rsid w:val="00672A56"/>
  </w:style>
  <w:style w:type="character" w:customStyle="1" w:styleId="1f6">
    <w:name w:val="איות1"/>
    <w:basedOn w:val="Heading4Char"/>
    <w:rsid w:val="00672A56"/>
    <w:rPr>
      <w:rFonts w:ascii="Arial" w:eastAsia="Times New Roman" w:hAnsi="Arial" w:cs="Arial"/>
      <w:b/>
      <w:bCs/>
      <w:noProof/>
      <w:snapToGrid w:val="0"/>
      <w:color w:val="000000"/>
      <w:sz w:val="32"/>
      <w:szCs w:val="22"/>
      <w:u w:val="single"/>
      <w:lang w:eastAsia="he-IL"/>
    </w:rPr>
  </w:style>
  <w:style w:type="table" w:customStyle="1" w:styleId="113">
    <w:name w:val="טבלת רשת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ללא רשימה12"/>
    <w:next w:val="NoList"/>
    <w:uiPriority w:val="99"/>
    <w:semiHidden/>
    <w:rsid w:val="00672A56"/>
  </w:style>
  <w:style w:type="table" w:customStyle="1" w:styleId="2c">
    <w:name w:val="טבלת רשת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ללא רשימה211"/>
    <w:next w:val="NoList"/>
    <w:semiHidden/>
    <w:rsid w:val="00672A56"/>
  </w:style>
  <w:style w:type="table" w:customStyle="1" w:styleId="TableNormal10">
    <w:name w:val="Table Normal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
    <w:name w:val="ללא רשימה1111"/>
    <w:next w:val="NoList"/>
    <w:uiPriority w:val="99"/>
    <w:semiHidden/>
    <w:rsid w:val="00672A56"/>
  </w:style>
  <w:style w:type="numbering" w:customStyle="1" w:styleId="131">
    <w:name w:val="ללא רשימה13"/>
    <w:next w:val="NoList"/>
    <w:uiPriority w:val="99"/>
    <w:semiHidden/>
    <w:rsid w:val="00672A56"/>
  </w:style>
  <w:style w:type="table" w:customStyle="1" w:styleId="3c">
    <w:name w:val="טבלת רשת3"/>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ללא רשימה22"/>
    <w:next w:val="NoList"/>
    <w:semiHidden/>
    <w:rsid w:val="00672A56"/>
  </w:style>
  <w:style w:type="table" w:customStyle="1" w:styleId="TableNormal2">
    <w:name w:val="Table Normal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0">
    <w:name w:val="ללא רשימה112"/>
    <w:next w:val="NoList"/>
    <w:uiPriority w:val="99"/>
    <w:semiHidden/>
    <w:rsid w:val="00672A56"/>
  </w:style>
  <w:style w:type="table" w:customStyle="1" w:styleId="123">
    <w:name w:val="טבלת רשת1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ללא רשימה311"/>
    <w:next w:val="NoList"/>
    <w:uiPriority w:val="99"/>
    <w:semiHidden/>
    <w:unhideWhenUsed/>
    <w:rsid w:val="00672A56"/>
  </w:style>
  <w:style w:type="numbering" w:customStyle="1" w:styleId="1210">
    <w:name w:val="ללא רשימה121"/>
    <w:next w:val="NoList"/>
    <w:uiPriority w:val="99"/>
    <w:semiHidden/>
    <w:rsid w:val="00672A56"/>
  </w:style>
  <w:style w:type="table" w:customStyle="1" w:styleId="3111">
    <w:name w:val="רשימה בטבלה 31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2">
    <w:name w:val="טבלת רשת2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ללא רשימה2111"/>
    <w:next w:val="NoList"/>
    <w:semiHidden/>
    <w:rsid w:val="00672A56"/>
  </w:style>
  <w:style w:type="table" w:customStyle="1" w:styleId="TableNormal11">
    <w:name w:val="Table Normal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1">
    <w:name w:val="ללא רשימה11111"/>
    <w:next w:val="NoList"/>
    <w:uiPriority w:val="99"/>
    <w:semiHidden/>
    <w:rsid w:val="00672A56"/>
  </w:style>
  <w:style w:type="table" w:customStyle="1" w:styleId="1112">
    <w:name w:val="טבלת רשת1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5">
    <w:name w:val="פיסקת רשימה4"/>
    <w:basedOn w:val="Normal"/>
    <w:rsid w:val="00672A56"/>
    <w:pPr>
      <w:widowControl w:val="0"/>
      <w:overflowPunct w:val="0"/>
      <w:autoSpaceDE w:val="0"/>
      <w:autoSpaceDN w:val="0"/>
      <w:adjustRightInd w:val="0"/>
      <w:ind w:left="720"/>
      <w:jc w:val="left"/>
      <w:textAlignment w:val="baseline"/>
    </w:pPr>
    <w:rPr>
      <w:rFonts w:ascii="Times New Roman" w:hAnsi="Times New Roman" w:cs="David"/>
      <w:color w:val="auto"/>
      <w:sz w:val="22"/>
      <w:szCs w:val="22"/>
    </w:rPr>
  </w:style>
  <w:style w:type="paragraph" w:customStyle="1" w:styleId="2d">
    <w:name w:val="גוף טקסט2"/>
    <w:uiPriority w:val="99"/>
    <w:rsid w:val="00672A56"/>
    <w:pPr>
      <w:tabs>
        <w:tab w:val="left" w:pos="397"/>
      </w:tabs>
      <w:autoSpaceDE w:val="0"/>
      <w:autoSpaceDN w:val="0"/>
      <w:adjustRightInd w:val="0"/>
      <w:spacing w:after="0" w:line="260" w:lineRule="atLeast"/>
    </w:pPr>
    <w:rPr>
      <w:rFonts w:ascii="Univers 45 Light" w:eastAsia="Times New Roman" w:hAnsi="Univers 45 Light" w:cs="Univers 45 Light"/>
      <w:color w:val="000000"/>
      <w:sz w:val="20"/>
      <w:szCs w:val="20"/>
      <w:lang w:eastAsia="en-NZ" w:bidi="ar-SA"/>
    </w:rPr>
  </w:style>
  <w:style w:type="numbering" w:customStyle="1" w:styleId="511">
    <w:name w:val="ללא רשימה51"/>
    <w:next w:val="NoList"/>
    <w:uiPriority w:val="99"/>
    <w:semiHidden/>
    <w:unhideWhenUsed/>
    <w:rsid w:val="00672A56"/>
  </w:style>
  <w:style w:type="numbering" w:customStyle="1" w:styleId="141">
    <w:name w:val="ללא רשימה14"/>
    <w:next w:val="NoList"/>
    <w:uiPriority w:val="99"/>
    <w:semiHidden/>
    <w:rsid w:val="00672A56"/>
  </w:style>
  <w:style w:type="numbering" w:customStyle="1" w:styleId="230">
    <w:name w:val="ללא רשימה23"/>
    <w:next w:val="NoList"/>
    <w:semiHidden/>
    <w:rsid w:val="00672A56"/>
  </w:style>
  <w:style w:type="table" w:customStyle="1" w:styleId="TableNormal3">
    <w:name w:val="Table Normal3"/>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30">
    <w:name w:val="ללא רשימה113"/>
    <w:next w:val="NoList"/>
    <w:uiPriority w:val="99"/>
    <w:semiHidden/>
    <w:rsid w:val="00672A56"/>
  </w:style>
  <w:style w:type="table" w:customStyle="1" w:styleId="132">
    <w:name w:val="טבלת רשת13"/>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
    <w:name w:val="ללא רשימה32"/>
    <w:next w:val="NoList"/>
    <w:uiPriority w:val="99"/>
    <w:semiHidden/>
    <w:unhideWhenUsed/>
    <w:rsid w:val="00672A56"/>
  </w:style>
  <w:style w:type="numbering" w:customStyle="1" w:styleId="1220">
    <w:name w:val="ללא רשימה122"/>
    <w:next w:val="NoList"/>
    <w:uiPriority w:val="99"/>
    <w:semiHidden/>
    <w:rsid w:val="00672A56"/>
  </w:style>
  <w:style w:type="table" w:customStyle="1" w:styleId="3120">
    <w:name w:val="רשימה בטבלה 31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21">
    <w:name w:val="טבלת רשת2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ללא רשימה212"/>
    <w:next w:val="NoList"/>
    <w:semiHidden/>
    <w:rsid w:val="00672A56"/>
  </w:style>
  <w:style w:type="table" w:customStyle="1" w:styleId="TableNormal12">
    <w:name w:val="Table Normal1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20">
    <w:name w:val="ללא רשימה1112"/>
    <w:next w:val="NoList"/>
    <w:uiPriority w:val="99"/>
    <w:semiHidden/>
    <w:rsid w:val="00672A56"/>
  </w:style>
  <w:style w:type="table" w:customStyle="1" w:styleId="1121">
    <w:name w:val="טבלת רשת11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0">
    <w:name w:val="ללא רשימה411"/>
    <w:next w:val="NoList"/>
    <w:uiPriority w:val="99"/>
    <w:semiHidden/>
    <w:unhideWhenUsed/>
    <w:rsid w:val="00672A56"/>
  </w:style>
  <w:style w:type="table" w:customStyle="1" w:styleId="314">
    <w:name w:val="טבלת רשת3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0">
    <w:name w:val="ללא רשימה131"/>
    <w:next w:val="NoList"/>
    <w:uiPriority w:val="99"/>
    <w:semiHidden/>
    <w:unhideWhenUsed/>
    <w:rsid w:val="00672A56"/>
  </w:style>
  <w:style w:type="numbering" w:customStyle="1" w:styleId="11210">
    <w:name w:val="ללא רשימה1121"/>
    <w:next w:val="NoList"/>
    <w:uiPriority w:val="99"/>
    <w:semiHidden/>
    <w:rsid w:val="00672A56"/>
  </w:style>
  <w:style w:type="numbering" w:customStyle="1" w:styleId="2210">
    <w:name w:val="ללא רשימה221"/>
    <w:next w:val="NoList"/>
    <w:semiHidden/>
    <w:rsid w:val="00672A56"/>
  </w:style>
  <w:style w:type="numbering" w:customStyle="1" w:styleId="31110">
    <w:name w:val="ללא רשימה3111"/>
    <w:next w:val="NoList"/>
    <w:uiPriority w:val="99"/>
    <w:semiHidden/>
    <w:unhideWhenUsed/>
    <w:rsid w:val="00672A56"/>
  </w:style>
  <w:style w:type="numbering" w:customStyle="1" w:styleId="1211">
    <w:name w:val="ללא רשימה1211"/>
    <w:next w:val="NoList"/>
    <w:uiPriority w:val="99"/>
    <w:semiHidden/>
    <w:rsid w:val="00672A56"/>
  </w:style>
  <w:style w:type="numbering" w:customStyle="1" w:styleId="21111">
    <w:name w:val="ללא רשימה21111"/>
    <w:next w:val="NoList"/>
    <w:semiHidden/>
    <w:rsid w:val="00672A56"/>
  </w:style>
  <w:style w:type="numbering" w:customStyle="1" w:styleId="111111">
    <w:name w:val="ללא רשימה111111"/>
    <w:next w:val="NoList"/>
    <w:uiPriority w:val="99"/>
    <w:semiHidden/>
    <w:rsid w:val="00672A56"/>
  </w:style>
  <w:style w:type="numbering" w:customStyle="1" w:styleId="4111">
    <w:name w:val="ללא רשימה4111"/>
    <w:next w:val="NoList"/>
    <w:uiPriority w:val="99"/>
    <w:semiHidden/>
    <w:unhideWhenUsed/>
    <w:rsid w:val="00672A56"/>
  </w:style>
  <w:style w:type="numbering" w:customStyle="1" w:styleId="1311">
    <w:name w:val="ללא רשימה1311"/>
    <w:next w:val="NoList"/>
    <w:uiPriority w:val="99"/>
    <w:semiHidden/>
    <w:rsid w:val="00672A56"/>
  </w:style>
  <w:style w:type="table" w:customStyle="1" w:styleId="3211">
    <w:name w:val="רשימה בטבלה 32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112">
    <w:name w:val="טבלת רשת3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1">
    <w:name w:val="ללא רשימה2211"/>
    <w:next w:val="NoList"/>
    <w:semiHidden/>
    <w:rsid w:val="00672A56"/>
  </w:style>
  <w:style w:type="table" w:customStyle="1" w:styleId="TableNormal21">
    <w:name w:val="Table Normal2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11">
    <w:name w:val="ללא רשימה11211"/>
    <w:next w:val="NoList"/>
    <w:uiPriority w:val="99"/>
    <w:semiHidden/>
    <w:rsid w:val="00672A56"/>
  </w:style>
  <w:style w:type="table" w:customStyle="1" w:styleId="1212">
    <w:name w:val="טבלת רשת12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
    <w:name w:val="ללא רשימה31111"/>
    <w:next w:val="NoList"/>
    <w:uiPriority w:val="99"/>
    <w:semiHidden/>
    <w:unhideWhenUsed/>
    <w:rsid w:val="00672A56"/>
  </w:style>
  <w:style w:type="numbering" w:customStyle="1" w:styleId="12111">
    <w:name w:val="ללא רשימה12111"/>
    <w:next w:val="NoList"/>
    <w:uiPriority w:val="99"/>
    <w:semiHidden/>
    <w:rsid w:val="00672A56"/>
  </w:style>
  <w:style w:type="table" w:customStyle="1" w:styleId="2112">
    <w:name w:val="טבלת רשת2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1">
    <w:name w:val="ללא רשימה211111"/>
    <w:next w:val="NoList"/>
    <w:semiHidden/>
    <w:rsid w:val="00672A56"/>
  </w:style>
  <w:style w:type="table" w:customStyle="1" w:styleId="TableNormal111">
    <w:name w:val="Table Normal1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111">
    <w:name w:val="ללא רשימה1111111"/>
    <w:next w:val="NoList"/>
    <w:uiPriority w:val="99"/>
    <w:semiHidden/>
    <w:rsid w:val="00672A56"/>
  </w:style>
  <w:style w:type="table" w:customStyle="1" w:styleId="11110">
    <w:name w:val="טבלת רשת11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ללא רשימה6"/>
    <w:next w:val="NoList"/>
    <w:uiPriority w:val="99"/>
    <w:semiHidden/>
    <w:unhideWhenUsed/>
    <w:rsid w:val="00672A56"/>
  </w:style>
  <w:style w:type="table" w:customStyle="1" w:styleId="53">
    <w:name w:val="טבלת רשת5"/>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ללא רשימה15"/>
    <w:next w:val="NoList"/>
    <w:uiPriority w:val="99"/>
    <w:semiHidden/>
    <w:unhideWhenUsed/>
    <w:rsid w:val="00672A56"/>
  </w:style>
  <w:style w:type="numbering" w:customStyle="1" w:styleId="114">
    <w:name w:val="ללא רשימה114"/>
    <w:next w:val="NoList"/>
    <w:uiPriority w:val="99"/>
    <w:semiHidden/>
    <w:rsid w:val="00672A56"/>
  </w:style>
  <w:style w:type="table" w:customStyle="1" w:styleId="341">
    <w:name w:val="רשימה בטבלה 34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40">
    <w:name w:val="ללא רשימה24"/>
    <w:next w:val="NoList"/>
    <w:semiHidden/>
    <w:rsid w:val="00672A56"/>
  </w:style>
  <w:style w:type="numbering" w:customStyle="1" w:styleId="330">
    <w:name w:val="ללא רשימה33"/>
    <w:next w:val="NoList"/>
    <w:uiPriority w:val="99"/>
    <w:semiHidden/>
    <w:unhideWhenUsed/>
    <w:rsid w:val="00672A56"/>
  </w:style>
  <w:style w:type="numbering" w:customStyle="1" w:styleId="1230">
    <w:name w:val="ללא רשימה123"/>
    <w:next w:val="NoList"/>
    <w:uiPriority w:val="99"/>
    <w:semiHidden/>
    <w:rsid w:val="00672A56"/>
  </w:style>
  <w:style w:type="table" w:customStyle="1" w:styleId="3130">
    <w:name w:val="רשימה בטבלה 313"/>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3">
    <w:name w:val="ללא רשימה213"/>
    <w:next w:val="NoList"/>
    <w:semiHidden/>
    <w:rsid w:val="00672A56"/>
  </w:style>
  <w:style w:type="numbering" w:customStyle="1" w:styleId="1113">
    <w:name w:val="ללא רשימה1113"/>
    <w:next w:val="NoList"/>
    <w:uiPriority w:val="99"/>
    <w:semiHidden/>
    <w:rsid w:val="00672A56"/>
  </w:style>
  <w:style w:type="numbering" w:customStyle="1" w:styleId="420">
    <w:name w:val="ללא רשימה42"/>
    <w:next w:val="NoList"/>
    <w:uiPriority w:val="99"/>
    <w:semiHidden/>
    <w:unhideWhenUsed/>
    <w:rsid w:val="00672A56"/>
  </w:style>
  <w:style w:type="numbering" w:customStyle="1" w:styleId="1320">
    <w:name w:val="ללא רשימה132"/>
    <w:next w:val="NoList"/>
    <w:uiPriority w:val="99"/>
    <w:semiHidden/>
    <w:rsid w:val="00672A56"/>
  </w:style>
  <w:style w:type="table" w:customStyle="1" w:styleId="3220">
    <w:name w:val="רשימה בטבלה 32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2">
    <w:name w:val="ללא רשימה222"/>
    <w:next w:val="NoList"/>
    <w:semiHidden/>
    <w:rsid w:val="00672A56"/>
  </w:style>
  <w:style w:type="numbering" w:customStyle="1" w:styleId="1122">
    <w:name w:val="ללא רשימה1122"/>
    <w:next w:val="NoList"/>
    <w:uiPriority w:val="99"/>
    <w:semiHidden/>
    <w:rsid w:val="00672A56"/>
  </w:style>
  <w:style w:type="numbering" w:customStyle="1" w:styleId="3121">
    <w:name w:val="ללא רשימה312"/>
    <w:next w:val="NoList"/>
    <w:uiPriority w:val="99"/>
    <w:semiHidden/>
    <w:unhideWhenUsed/>
    <w:rsid w:val="00672A56"/>
  </w:style>
  <w:style w:type="numbering" w:customStyle="1" w:styleId="12120">
    <w:name w:val="ללא רשימה1212"/>
    <w:next w:val="NoList"/>
    <w:uiPriority w:val="99"/>
    <w:semiHidden/>
    <w:rsid w:val="00672A56"/>
  </w:style>
  <w:style w:type="numbering" w:customStyle="1" w:styleId="21120">
    <w:name w:val="ללא רשימה2112"/>
    <w:next w:val="NoList"/>
    <w:semiHidden/>
    <w:rsid w:val="00672A56"/>
  </w:style>
  <w:style w:type="numbering" w:customStyle="1" w:styleId="11112">
    <w:name w:val="ללא רשימה11112"/>
    <w:next w:val="NoList"/>
    <w:uiPriority w:val="99"/>
    <w:semiHidden/>
    <w:rsid w:val="00672A56"/>
  </w:style>
  <w:style w:type="numbering" w:customStyle="1" w:styleId="5110">
    <w:name w:val="ללא רשימה511"/>
    <w:next w:val="NoList"/>
    <w:uiPriority w:val="99"/>
    <w:semiHidden/>
    <w:unhideWhenUsed/>
    <w:rsid w:val="00672A56"/>
  </w:style>
  <w:style w:type="numbering" w:customStyle="1" w:styleId="1410">
    <w:name w:val="ללא רשימה141"/>
    <w:next w:val="NoList"/>
    <w:uiPriority w:val="99"/>
    <w:semiHidden/>
    <w:rsid w:val="00672A56"/>
  </w:style>
  <w:style w:type="numbering" w:customStyle="1" w:styleId="231">
    <w:name w:val="ללא רשימה231"/>
    <w:next w:val="NoList"/>
    <w:semiHidden/>
    <w:rsid w:val="00672A56"/>
  </w:style>
  <w:style w:type="numbering" w:customStyle="1" w:styleId="1131">
    <w:name w:val="ללא רשימה1131"/>
    <w:next w:val="NoList"/>
    <w:uiPriority w:val="99"/>
    <w:semiHidden/>
    <w:rsid w:val="00672A56"/>
  </w:style>
  <w:style w:type="numbering" w:customStyle="1" w:styleId="3210">
    <w:name w:val="ללא רשימה321"/>
    <w:next w:val="NoList"/>
    <w:uiPriority w:val="99"/>
    <w:semiHidden/>
    <w:unhideWhenUsed/>
    <w:rsid w:val="00672A56"/>
  </w:style>
  <w:style w:type="numbering" w:customStyle="1" w:styleId="1221">
    <w:name w:val="ללא רשימה1221"/>
    <w:next w:val="NoList"/>
    <w:uiPriority w:val="99"/>
    <w:semiHidden/>
    <w:rsid w:val="00672A56"/>
  </w:style>
  <w:style w:type="numbering" w:customStyle="1" w:styleId="2121">
    <w:name w:val="ללא רשימה2121"/>
    <w:next w:val="NoList"/>
    <w:semiHidden/>
    <w:rsid w:val="00672A56"/>
  </w:style>
  <w:style w:type="numbering" w:customStyle="1" w:styleId="11121">
    <w:name w:val="ללא רשימה11121"/>
    <w:next w:val="NoList"/>
    <w:uiPriority w:val="99"/>
    <w:semiHidden/>
    <w:rsid w:val="00672A56"/>
  </w:style>
  <w:style w:type="numbering" w:customStyle="1" w:styleId="412">
    <w:name w:val="ללא רשימה412"/>
    <w:next w:val="NoList"/>
    <w:uiPriority w:val="99"/>
    <w:semiHidden/>
    <w:unhideWhenUsed/>
    <w:rsid w:val="00672A56"/>
  </w:style>
  <w:style w:type="numbering" w:customStyle="1" w:styleId="1312">
    <w:name w:val="ללא רשימה1312"/>
    <w:next w:val="NoList"/>
    <w:uiPriority w:val="99"/>
    <w:semiHidden/>
    <w:unhideWhenUsed/>
    <w:rsid w:val="00672A56"/>
  </w:style>
  <w:style w:type="numbering" w:customStyle="1" w:styleId="11212">
    <w:name w:val="ללא רשימה11212"/>
    <w:next w:val="NoList"/>
    <w:uiPriority w:val="99"/>
    <w:semiHidden/>
    <w:rsid w:val="00672A56"/>
  </w:style>
  <w:style w:type="numbering" w:customStyle="1" w:styleId="2212">
    <w:name w:val="ללא רשימה2212"/>
    <w:next w:val="NoList"/>
    <w:semiHidden/>
    <w:rsid w:val="00672A56"/>
  </w:style>
  <w:style w:type="numbering" w:customStyle="1" w:styleId="31120">
    <w:name w:val="ללא רשימה3112"/>
    <w:next w:val="NoList"/>
    <w:uiPriority w:val="99"/>
    <w:semiHidden/>
    <w:unhideWhenUsed/>
    <w:rsid w:val="00672A56"/>
  </w:style>
  <w:style w:type="numbering" w:customStyle="1" w:styleId="12112">
    <w:name w:val="ללא רשימה12112"/>
    <w:next w:val="NoList"/>
    <w:uiPriority w:val="99"/>
    <w:semiHidden/>
    <w:rsid w:val="00672A56"/>
  </w:style>
  <w:style w:type="numbering" w:customStyle="1" w:styleId="21112">
    <w:name w:val="ללא רשימה21112"/>
    <w:next w:val="NoList"/>
    <w:semiHidden/>
    <w:rsid w:val="00672A56"/>
  </w:style>
  <w:style w:type="numbering" w:customStyle="1" w:styleId="111112">
    <w:name w:val="ללא רשימה111112"/>
    <w:next w:val="NoList"/>
    <w:uiPriority w:val="99"/>
    <w:semiHidden/>
    <w:rsid w:val="00672A56"/>
  </w:style>
  <w:style w:type="numbering" w:customStyle="1" w:styleId="41111">
    <w:name w:val="ללא רשימה41111"/>
    <w:next w:val="NoList"/>
    <w:uiPriority w:val="99"/>
    <w:semiHidden/>
    <w:unhideWhenUsed/>
    <w:rsid w:val="00672A56"/>
  </w:style>
  <w:style w:type="numbering" w:customStyle="1" w:styleId="13111">
    <w:name w:val="ללא רשימה13111"/>
    <w:next w:val="NoList"/>
    <w:uiPriority w:val="99"/>
    <w:semiHidden/>
    <w:rsid w:val="00672A56"/>
  </w:style>
  <w:style w:type="numbering" w:customStyle="1" w:styleId="22111">
    <w:name w:val="ללא רשימה22111"/>
    <w:next w:val="NoList"/>
    <w:semiHidden/>
    <w:rsid w:val="00672A56"/>
  </w:style>
  <w:style w:type="numbering" w:customStyle="1" w:styleId="112111">
    <w:name w:val="ללא רשימה112111"/>
    <w:next w:val="NoList"/>
    <w:uiPriority w:val="99"/>
    <w:semiHidden/>
    <w:rsid w:val="00672A56"/>
  </w:style>
  <w:style w:type="numbering" w:customStyle="1" w:styleId="311111">
    <w:name w:val="ללא רשימה311111"/>
    <w:next w:val="NoList"/>
    <w:uiPriority w:val="99"/>
    <w:semiHidden/>
    <w:unhideWhenUsed/>
    <w:rsid w:val="00672A56"/>
  </w:style>
  <w:style w:type="numbering" w:customStyle="1" w:styleId="121111">
    <w:name w:val="ללא רשימה121111"/>
    <w:next w:val="NoList"/>
    <w:uiPriority w:val="99"/>
    <w:semiHidden/>
    <w:rsid w:val="00672A56"/>
  </w:style>
  <w:style w:type="numbering" w:customStyle="1" w:styleId="2111111">
    <w:name w:val="ללא רשימה2111111"/>
    <w:next w:val="NoList"/>
    <w:semiHidden/>
    <w:rsid w:val="00672A56"/>
  </w:style>
  <w:style w:type="numbering" w:customStyle="1" w:styleId="11111111">
    <w:name w:val="ללא רשימה11111111"/>
    <w:next w:val="NoList"/>
    <w:uiPriority w:val="99"/>
    <w:semiHidden/>
    <w:rsid w:val="00672A56"/>
  </w:style>
  <w:style w:type="numbering" w:customStyle="1" w:styleId="70">
    <w:name w:val="ללא רשימה7"/>
    <w:next w:val="NoList"/>
    <w:uiPriority w:val="99"/>
    <w:semiHidden/>
    <w:unhideWhenUsed/>
    <w:rsid w:val="00672A56"/>
  </w:style>
  <w:style w:type="table" w:customStyle="1" w:styleId="63">
    <w:name w:val="טבלת רשת6"/>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ללא רשימה16"/>
    <w:next w:val="NoList"/>
    <w:uiPriority w:val="99"/>
    <w:semiHidden/>
    <w:unhideWhenUsed/>
    <w:rsid w:val="00672A56"/>
  </w:style>
  <w:style w:type="numbering" w:customStyle="1" w:styleId="115">
    <w:name w:val="ללא רשימה115"/>
    <w:next w:val="NoList"/>
    <w:uiPriority w:val="99"/>
    <w:semiHidden/>
    <w:rsid w:val="00672A56"/>
  </w:style>
  <w:style w:type="table" w:customStyle="1" w:styleId="350">
    <w:name w:val="רשימה בטבלה 35"/>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50">
    <w:name w:val="ללא רשימה25"/>
    <w:next w:val="NoList"/>
    <w:semiHidden/>
    <w:rsid w:val="00672A56"/>
  </w:style>
  <w:style w:type="numbering" w:customStyle="1" w:styleId="342">
    <w:name w:val="ללא רשימה34"/>
    <w:next w:val="NoList"/>
    <w:uiPriority w:val="99"/>
    <w:semiHidden/>
    <w:unhideWhenUsed/>
    <w:rsid w:val="00672A56"/>
  </w:style>
  <w:style w:type="numbering" w:customStyle="1" w:styleId="124">
    <w:name w:val="ללא רשימה124"/>
    <w:next w:val="NoList"/>
    <w:uiPriority w:val="99"/>
    <w:semiHidden/>
    <w:rsid w:val="00672A56"/>
  </w:style>
  <w:style w:type="table" w:customStyle="1" w:styleId="3140">
    <w:name w:val="רשימה בטבלה 314"/>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4">
    <w:name w:val="ללא רשימה214"/>
    <w:next w:val="NoList"/>
    <w:semiHidden/>
    <w:rsid w:val="00672A56"/>
  </w:style>
  <w:style w:type="numbering" w:customStyle="1" w:styleId="1114">
    <w:name w:val="ללא רשימה1114"/>
    <w:next w:val="NoList"/>
    <w:uiPriority w:val="99"/>
    <w:semiHidden/>
    <w:rsid w:val="00672A56"/>
  </w:style>
  <w:style w:type="numbering" w:customStyle="1" w:styleId="430">
    <w:name w:val="ללא רשימה43"/>
    <w:next w:val="NoList"/>
    <w:uiPriority w:val="99"/>
    <w:semiHidden/>
    <w:unhideWhenUsed/>
    <w:rsid w:val="00672A56"/>
  </w:style>
  <w:style w:type="numbering" w:customStyle="1" w:styleId="133">
    <w:name w:val="ללא רשימה133"/>
    <w:next w:val="NoList"/>
    <w:uiPriority w:val="99"/>
    <w:semiHidden/>
    <w:rsid w:val="00672A56"/>
  </w:style>
  <w:style w:type="table" w:customStyle="1" w:styleId="323">
    <w:name w:val="רשימה בטבלה 323"/>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3">
    <w:name w:val="ללא רשימה223"/>
    <w:next w:val="NoList"/>
    <w:semiHidden/>
    <w:rsid w:val="00672A56"/>
  </w:style>
  <w:style w:type="numbering" w:customStyle="1" w:styleId="1123">
    <w:name w:val="ללא רשימה1123"/>
    <w:next w:val="NoList"/>
    <w:uiPriority w:val="99"/>
    <w:semiHidden/>
    <w:rsid w:val="00672A56"/>
  </w:style>
  <w:style w:type="numbering" w:customStyle="1" w:styleId="3131">
    <w:name w:val="ללא רשימה313"/>
    <w:next w:val="NoList"/>
    <w:uiPriority w:val="99"/>
    <w:semiHidden/>
    <w:unhideWhenUsed/>
    <w:rsid w:val="00672A56"/>
  </w:style>
  <w:style w:type="numbering" w:customStyle="1" w:styleId="1213">
    <w:name w:val="ללא רשימה1213"/>
    <w:next w:val="NoList"/>
    <w:uiPriority w:val="99"/>
    <w:semiHidden/>
    <w:rsid w:val="00672A56"/>
  </w:style>
  <w:style w:type="numbering" w:customStyle="1" w:styleId="2113">
    <w:name w:val="ללא רשימה2113"/>
    <w:next w:val="NoList"/>
    <w:semiHidden/>
    <w:rsid w:val="00672A56"/>
  </w:style>
  <w:style w:type="numbering" w:customStyle="1" w:styleId="11113">
    <w:name w:val="ללא רשימה11113"/>
    <w:next w:val="NoList"/>
    <w:uiPriority w:val="99"/>
    <w:semiHidden/>
    <w:rsid w:val="00672A56"/>
  </w:style>
  <w:style w:type="numbering" w:customStyle="1" w:styleId="520">
    <w:name w:val="ללא רשימה52"/>
    <w:next w:val="NoList"/>
    <w:uiPriority w:val="99"/>
    <w:semiHidden/>
    <w:unhideWhenUsed/>
    <w:rsid w:val="00672A56"/>
  </w:style>
  <w:style w:type="numbering" w:customStyle="1" w:styleId="142">
    <w:name w:val="ללא רשימה142"/>
    <w:next w:val="NoList"/>
    <w:uiPriority w:val="99"/>
    <w:semiHidden/>
    <w:rsid w:val="00672A56"/>
  </w:style>
  <w:style w:type="numbering" w:customStyle="1" w:styleId="232">
    <w:name w:val="ללא רשימה232"/>
    <w:next w:val="NoList"/>
    <w:semiHidden/>
    <w:rsid w:val="00672A56"/>
  </w:style>
  <w:style w:type="numbering" w:customStyle="1" w:styleId="1132">
    <w:name w:val="ללא רשימה1132"/>
    <w:next w:val="NoList"/>
    <w:uiPriority w:val="99"/>
    <w:semiHidden/>
    <w:rsid w:val="00672A56"/>
  </w:style>
  <w:style w:type="numbering" w:customStyle="1" w:styleId="3221">
    <w:name w:val="ללא רשימה322"/>
    <w:next w:val="NoList"/>
    <w:uiPriority w:val="99"/>
    <w:semiHidden/>
    <w:unhideWhenUsed/>
    <w:rsid w:val="00672A56"/>
  </w:style>
  <w:style w:type="numbering" w:customStyle="1" w:styleId="1222">
    <w:name w:val="ללא רשימה1222"/>
    <w:next w:val="NoList"/>
    <w:uiPriority w:val="99"/>
    <w:semiHidden/>
    <w:rsid w:val="00672A56"/>
  </w:style>
  <w:style w:type="numbering" w:customStyle="1" w:styleId="2122">
    <w:name w:val="ללא רשימה2122"/>
    <w:next w:val="NoList"/>
    <w:semiHidden/>
    <w:rsid w:val="00672A56"/>
  </w:style>
  <w:style w:type="numbering" w:customStyle="1" w:styleId="11122">
    <w:name w:val="ללא רשימה11122"/>
    <w:next w:val="NoList"/>
    <w:uiPriority w:val="99"/>
    <w:semiHidden/>
    <w:rsid w:val="00672A56"/>
  </w:style>
  <w:style w:type="numbering" w:customStyle="1" w:styleId="413">
    <w:name w:val="ללא רשימה413"/>
    <w:next w:val="NoList"/>
    <w:uiPriority w:val="99"/>
    <w:semiHidden/>
    <w:unhideWhenUsed/>
    <w:rsid w:val="00672A56"/>
  </w:style>
  <w:style w:type="numbering" w:customStyle="1" w:styleId="1313">
    <w:name w:val="ללא רשימה1313"/>
    <w:next w:val="NoList"/>
    <w:uiPriority w:val="99"/>
    <w:semiHidden/>
    <w:unhideWhenUsed/>
    <w:rsid w:val="00672A56"/>
  </w:style>
  <w:style w:type="numbering" w:customStyle="1" w:styleId="11213">
    <w:name w:val="ללא רשימה11213"/>
    <w:next w:val="NoList"/>
    <w:uiPriority w:val="99"/>
    <w:semiHidden/>
    <w:rsid w:val="00672A56"/>
  </w:style>
  <w:style w:type="numbering" w:customStyle="1" w:styleId="2213">
    <w:name w:val="ללא רשימה2213"/>
    <w:next w:val="NoList"/>
    <w:semiHidden/>
    <w:rsid w:val="00672A56"/>
  </w:style>
  <w:style w:type="numbering" w:customStyle="1" w:styleId="3113">
    <w:name w:val="ללא רשימה3113"/>
    <w:next w:val="NoList"/>
    <w:uiPriority w:val="99"/>
    <w:semiHidden/>
    <w:unhideWhenUsed/>
    <w:rsid w:val="00672A56"/>
  </w:style>
  <w:style w:type="numbering" w:customStyle="1" w:styleId="12113">
    <w:name w:val="ללא רשימה12113"/>
    <w:next w:val="NoList"/>
    <w:uiPriority w:val="99"/>
    <w:semiHidden/>
    <w:rsid w:val="00672A56"/>
  </w:style>
  <w:style w:type="numbering" w:customStyle="1" w:styleId="21113">
    <w:name w:val="ללא רשימה21113"/>
    <w:next w:val="NoList"/>
    <w:semiHidden/>
    <w:rsid w:val="00672A56"/>
  </w:style>
  <w:style w:type="numbering" w:customStyle="1" w:styleId="111113">
    <w:name w:val="ללא רשימה111113"/>
    <w:next w:val="NoList"/>
    <w:uiPriority w:val="99"/>
    <w:semiHidden/>
    <w:rsid w:val="00672A56"/>
  </w:style>
  <w:style w:type="numbering" w:customStyle="1" w:styleId="4112">
    <w:name w:val="ללא רשימה4112"/>
    <w:next w:val="NoList"/>
    <w:uiPriority w:val="99"/>
    <w:semiHidden/>
    <w:unhideWhenUsed/>
    <w:rsid w:val="00672A56"/>
  </w:style>
  <w:style w:type="numbering" w:customStyle="1" w:styleId="13112">
    <w:name w:val="ללא רשימה13112"/>
    <w:next w:val="NoList"/>
    <w:uiPriority w:val="99"/>
    <w:semiHidden/>
    <w:rsid w:val="00672A56"/>
  </w:style>
  <w:style w:type="numbering" w:customStyle="1" w:styleId="22112">
    <w:name w:val="ללא רשימה22112"/>
    <w:next w:val="NoList"/>
    <w:semiHidden/>
    <w:rsid w:val="00672A56"/>
  </w:style>
  <w:style w:type="numbering" w:customStyle="1" w:styleId="112112">
    <w:name w:val="ללא רשימה112112"/>
    <w:next w:val="NoList"/>
    <w:uiPriority w:val="99"/>
    <w:semiHidden/>
    <w:rsid w:val="00672A56"/>
  </w:style>
  <w:style w:type="numbering" w:customStyle="1" w:styleId="31112">
    <w:name w:val="ללא רשימה31112"/>
    <w:next w:val="NoList"/>
    <w:uiPriority w:val="99"/>
    <w:semiHidden/>
    <w:unhideWhenUsed/>
    <w:rsid w:val="00672A56"/>
  </w:style>
  <w:style w:type="numbering" w:customStyle="1" w:styleId="121112">
    <w:name w:val="ללא רשימה121112"/>
    <w:next w:val="NoList"/>
    <w:uiPriority w:val="99"/>
    <w:semiHidden/>
    <w:rsid w:val="00672A56"/>
  </w:style>
  <w:style w:type="numbering" w:customStyle="1" w:styleId="211112">
    <w:name w:val="ללא רשימה211112"/>
    <w:next w:val="NoList"/>
    <w:semiHidden/>
    <w:rsid w:val="00672A56"/>
  </w:style>
  <w:style w:type="numbering" w:customStyle="1" w:styleId="1111112">
    <w:name w:val="ללא רשימה1111112"/>
    <w:next w:val="NoList"/>
    <w:uiPriority w:val="99"/>
    <w:semiHidden/>
    <w:rsid w:val="00672A56"/>
  </w:style>
  <w:style w:type="paragraph" w:customStyle="1" w:styleId="11--">
    <w:name w:val="11-לפחות-חדש"/>
    <w:basedOn w:val="Normal"/>
    <w:link w:val="11--0"/>
    <w:rsid w:val="00672A56"/>
    <w:pPr>
      <w:spacing w:before="40" w:line="40" w:lineRule="atLeast"/>
      <w:jc w:val="left"/>
    </w:pPr>
    <w:rPr>
      <w:rFonts w:asciiTheme="minorHAnsi" w:eastAsiaTheme="minorHAnsi" w:hAnsiTheme="minorHAnsi" w:cstheme="minorBidi"/>
      <w:b/>
      <w:bCs/>
      <w:color w:val="FF6600"/>
      <w:sz w:val="22"/>
      <w:szCs w:val="22"/>
    </w:rPr>
  </w:style>
  <w:style w:type="character" w:customStyle="1" w:styleId="11--0">
    <w:name w:val="11-לפחות-חדש תו"/>
    <w:basedOn w:val="DefaultParagraphFont"/>
    <w:link w:val="11--"/>
    <w:rsid w:val="00672A56"/>
    <w:rPr>
      <w:b/>
      <w:bCs/>
      <w:color w:val="FF6600"/>
    </w:rPr>
  </w:style>
  <w:style w:type="paragraph" w:customStyle="1" w:styleId="3d">
    <w:name w:val="סגנון3"/>
    <w:basedOn w:val="Normal"/>
    <w:link w:val="3e"/>
    <w:rsid w:val="00672A56"/>
    <w:pPr>
      <w:spacing w:before="40" w:line="40" w:lineRule="atLeast"/>
      <w:jc w:val="left"/>
    </w:pPr>
    <w:rPr>
      <w:rFonts w:asciiTheme="minorHAnsi" w:eastAsiaTheme="minorHAnsi" w:hAnsiTheme="minorHAnsi" w:cstheme="minorBidi"/>
      <w:b/>
      <w:bCs/>
      <w:color w:val="FF6600"/>
      <w:sz w:val="22"/>
      <w:szCs w:val="22"/>
    </w:rPr>
  </w:style>
  <w:style w:type="character" w:customStyle="1" w:styleId="3e">
    <w:name w:val="סגנון3 תו"/>
    <w:basedOn w:val="DefaultParagraphFont"/>
    <w:link w:val="3d"/>
    <w:rsid w:val="00672A56"/>
    <w:rPr>
      <w:b/>
      <w:bCs/>
      <w:color w:val="FF6600"/>
    </w:rPr>
  </w:style>
  <w:style w:type="numbering" w:customStyle="1" w:styleId="80">
    <w:name w:val="ללא רשימה8"/>
    <w:next w:val="NoList"/>
    <w:uiPriority w:val="99"/>
    <w:semiHidden/>
    <w:unhideWhenUsed/>
    <w:rsid w:val="00672A56"/>
  </w:style>
  <w:style w:type="numbering" w:customStyle="1" w:styleId="170">
    <w:name w:val="ללא רשימה17"/>
    <w:next w:val="NoList"/>
    <w:uiPriority w:val="99"/>
    <w:semiHidden/>
    <w:rsid w:val="00672A56"/>
  </w:style>
  <w:style w:type="table" w:customStyle="1" w:styleId="360">
    <w:name w:val="רשימה בטבלה 36"/>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72">
    <w:name w:val="טבלת רשת7"/>
    <w:basedOn w:val="TableNormal"/>
    <w:next w:val="TableGrid"/>
    <w:rsid w:val="00672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ללא רשימה26"/>
    <w:next w:val="NoList"/>
    <w:semiHidden/>
    <w:rsid w:val="00672A56"/>
  </w:style>
  <w:style w:type="table" w:customStyle="1" w:styleId="315">
    <w:name w:val="רשימה בטבלה 315"/>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351">
    <w:name w:val="ללא רשימה35"/>
    <w:next w:val="NoList"/>
    <w:uiPriority w:val="99"/>
    <w:semiHidden/>
    <w:rsid w:val="00672A56"/>
  </w:style>
  <w:style w:type="table" w:customStyle="1" w:styleId="324">
    <w:name w:val="רשימה בטבלה 324"/>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440">
    <w:name w:val="ללא רשימה44"/>
    <w:next w:val="NoList"/>
    <w:uiPriority w:val="99"/>
    <w:semiHidden/>
    <w:unhideWhenUsed/>
    <w:rsid w:val="00672A56"/>
  </w:style>
  <w:style w:type="table" w:customStyle="1" w:styleId="125">
    <w:name w:val="רשת טבלה12"/>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רשימה בטבלה 33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12">
    <w:name w:val="רשת בהירה - הדגשה 112"/>
    <w:uiPriority w:val="99"/>
    <w:rsid w:val="00672A56"/>
    <w:pPr>
      <w:spacing w:after="0" w:line="240" w:lineRule="auto"/>
    </w:pPr>
    <w:rPr>
      <w:rFonts w:ascii="Calibri" w:eastAsia="Calibri" w:hAnsi="Calibri" w:cs="Arial"/>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TableNormal4">
    <w:name w:val="Table Normal4"/>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6">
    <w:name w:val="ללא רשימה116"/>
    <w:next w:val="NoList"/>
    <w:uiPriority w:val="99"/>
    <w:semiHidden/>
    <w:rsid w:val="00672A56"/>
  </w:style>
  <w:style w:type="table" w:customStyle="1" w:styleId="143">
    <w:name w:val="טבלת רשת14"/>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0">
    <w:name w:val="ללא רשימה125"/>
    <w:next w:val="NoList"/>
    <w:uiPriority w:val="99"/>
    <w:semiHidden/>
    <w:rsid w:val="00672A56"/>
  </w:style>
  <w:style w:type="table" w:customStyle="1" w:styleId="233">
    <w:name w:val="טבלת רשת23"/>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ללא רשימה215"/>
    <w:next w:val="NoList"/>
    <w:semiHidden/>
    <w:rsid w:val="00672A56"/>
  </w:style>
  <w:style w:type="table" w:customStyle="1" w:styleId="TableNormal13">
    <w:name w:val="Table Normal13"/>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5">
    <w:name w:val="ללא רשימה1115"/>
    <w:next w:val="NoList"/>
    <w:uiPriority w:val="99"/>
    <w:semiHidden/>
    <w:rsid w:val="00672A56"/>
  </w:style>
  <w:style w:type="table" w:customStyle="1" w:styleId="1133">
    <w:name w:val="טבלת רשת113"/>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4">
    <w:name w:val="ללא רשימה134"/>
    <w:next w:val="NoList"/>
    <w:uiPriority w:val="99"/>
    <w:semiHidden/>
    <w:rsid w:val="00672A56"/>
  </w:style>
  <w:style w:type="table" w:customStyle="1" w:styleId="325">
    <w:name w:val="טבלת רשת3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4">
    <w:name w:val="ללא רשימה224"/>
    <w:next w:val="NoList"/>
    <w:semiHidden/>
    <w:rsid w:val="00672A56"/>
  </w:style>
  <w:style w:type="table" w:customStyle="1" w:styleId="TableNormal22">
    <w:name w:val="Table Normal2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4">
    <w:name w:val="ללא רשימה1124"/>
    <w:next w:val="NoList"/>
    <w:uiPriority w:val="99"/>
    <w:semiHidden/>
    <w:rsid w:val="00672A56"/>
  </w:style>
  <w:style w:type="table" w:customStyle="1" w:styleId="1223">
    <w:name w:val="טבלת רשת12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1">
    <w:name w:val="ללא רשימה314"/>
    <w:next w:val="NoList"/>
    <w:uiPriority w:val="99"/>
    <w:semiHidden/>
    <w:unhideWhenUsed/>
    <w:rsid w:val="00672A56"/>
  </w:style>
  <w:style w:type="numbering" w:customStyle="1" w:styleId="1214">
    <w:name w:val="ללא רשימה1214"/>
    <w:next w:val="NoList"/>
    <w:uiPriority w:val="99"/>
    <w:semiHidden/>
    <w:rsid w:val="00672A56"/>
  </w:style>
  <w:style w:type="table" w:customStyle="1" w:styleId="31121">
    <w:name w:val="רשימה בטבלה 311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23">
    <w:name w:val="טבלת רשת21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ללא רשימה2114"/>
    <w:next w:val="NoList"/>
    <w:semiHidden/>
    <w:rsid w:val="00672A56"/>
  </w:style>
  <w:style w:type="table" w:customStyle="1" w:styleId="TableNormal112">
    <w:name w:val="Table Normal11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4">
    <w:name w:val="ללא רשימה11114"/>
    <w:next w:val="NoList"/>
    <w:uiPriority w:val="99"/>
    <w:semiHidden/>
    <w:rsid w:val="00672A56"/>
  </w:style>
  <w:style w:type="table" w:customStyle="1" w:styleId="11123">
    <w:name w:val="טבלת רשת111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0">
    <w:name w:val="ללא רשימה53"/>
    <w:next w:val="NoList"/>
    <w:uiPriority w:val="99"/>
    <w:semiHidden/>
    <w:unhideWhenUsed/>
    <w:rsid w:val="00672A56"/>
  </w:style>
  <w:style w:type="numbering" w:customStyle="1" w:styleId="1430">
    <w:name w:val="ללא רשימה143"/>
    <w:next w:val="NoList"/>
    <w:uiPriority w:val="99"/>
    <w:semiHidden/>
    <w:rsid w:val="00672A56"/>
  </w:style>
  <w:style w:type="table" w:customStyle="1" w:styleId="414">
    <w:name w:val="טבלת רשת41"/>
    <w:basedOn w:val="TableNormal"/>
    <w:next w:val="TableGrid"/>
    <w:uiPriority w:val="5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0">
    <w:name w:val="ללא רשימה233"/>
    <w:next w:val="NoList"/>
    <w:semiHidden/>
    <w:rsid w:val="00672A56"/>
  </w:style>
  <w:style w:type="table" w:customStyle="1" w:styleId="TableNormal31">
    <w:name w:val="Table Normal3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330">
    <w:name w:val="ללא רשימה1133"/>
    <w:next w:val="NoList"/>
    <w:uiPriority w:val="99"/>
    <w:semiHidden/>
    <w:rsid w:val="00672A56"/>
  </w:style>
  <w:style w:type="table" w:customStyle="1" w:styleId="1314">
    <w:name w:val="טבלת רשת13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0">
    <w:name w:val="ללא רשימה323"/>
    <w:next w:val="NoList"/>
    <w:uiPriority w:val="99"/>
    <w:semiHidden/>
    <w:unhideWhenUsed/>
    <w:rsid w:val="00672A56"/>
  </w:style>
  <w:style w:type="numbering" w:customStyle="1" w:styleId="12230">
    <w:name w:val="ללא רשימה1223"/>
    <w:next w:val="NoList"/>
    <w:uiPriority w:val="99"/>
    <w:semiHidden/>
    <w:rsid w:val="00672A56"/>
  </w:style>
  <w:style w:type="table" w:customStyle="1" w:styleId="31210">
    <w:name w:val="רשימה בטבלה 312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214">
    <w:name w:val="טבלת רשת22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0">
    <w:name w:val="ללא רשימה2123"/>
    <w:next w:val="NoList"/>
    <w:semiHidden/>
    <w:rsid w:val="00672A56"/>
  </w:style>
  <w:style w:type="table" w:customStyle="1" w:styleId="TableNormal121">
    <w:name w:val="Table Normal12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230">
    <w:name w:val="ללא רשימה11123"/>
    <w:next w:val="NoList"/>
    <w:uiPriority w:val="99"/>
    <w:semiHidden/>
    <w:rsid w:val="00672A56"/>
  </w:style>
  <w:style w:type="table" w:customStyle="1" w:styleId="11214">
    <w:name w:val="טבלת רשת112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40">
    <w:name w:val="ללא רשימה414"/>
    <w:next w:val="NoList"/>
    <w:uiPriority w:val="99"/>
    <w:semiHidden/>
    <w:unhideWhenUsed/>
    <w:rsid w:val="00672A56"/>
  </w:style>
  <w:style w:type="table" w:customStyle="1" w:styleId="3122">
    <w:name w:val="טבלת רשת312"/>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40">
    <w:name w:val="ללא רשימה1314"/>
    <w:next w:val="NoList"/>
    <w:uiPriority w:val="99"/>
    <w:semiHidden/>
    <w:unhideWhenUsed/>
    <w:rsid w:val="00672A56"/>
  </w:style>
  <w:style w:type="numbering" w:customStyle="1" w:styleId="112140">
    <w:name w:val="ללא רשימה11214"/>
    <w:next w:val="NoList"/>
    <w:uiPriority w:val="99"/>
    <w:semiHidden/>
    <w:rsid w:val="00672A56"/>
  </w:style>
  <w:style w:type="numbering" w:customStyle="1" w:styleId="22140">
    <w:name w:val="ללא רשימה2214"/>
    <w:next w:val="NoList"/>
    <w:semiHidden/>
    <w:rsid w:val="00672A56"/>
  </w:style>
  <w:style w:type="numbering" w:customStyle="1" w:styleId="3114">
    <w:name w:val="ללא רשימה3114"/>
    <w:next w:val="NoList"/>
    <w:uiPriority w:val="99"/>
    <w:semiHidden/>
    <w:unhideWhenUsed/>
    <w:rsid w:val="00672A56"/>
  </w:style>
  <w:style w:type="numbering" w:customStyle="1" w:styleId="12114">
    <w:name w:val="ללא רשימה12114"/>
    <w:next w:val="NoList"/>
    <w:uiPriority w:val="99"/>
    <w:semiHidden/>
    <w:rsid w:val="00672A56"/>
  </w:style>
  <w:style w:type="numbering" w:customStyle="1" w:styleId="21114">
    <w:name w:val="ללא רשימה21114"/>
    <w:next w:val="NoList"/>
    <w:semiHidden/>
    <w:rsid w:val="00672A56"/>
  </w:style>
  <w:style w:type="numbering" w:customStyle="1" w:styleId="111114">
    <w:name w:val="ללא רשימה111114"/>
    <w:next w:val="NoList"/>
    <w:uiPriority w:val="99"/>
    <w:semiHidden/>
    <w:rsid w:val="00672A56"/>
  </w:style>
  <w:style w:type="numbering" w:customStyle="1" w:styleId="4113">
    <w:name w:val="ללא רשימה4113"/>
    <w:next w:val="NoList"/>
    <w:uiPriority w:val="99"/>
    <w:semiHidden/>
    <w:unhideWhenUsed/>
    <w:rsid w:val="00672A56"/>
  </w:style>
  <w:style w:type="numbering" w:customStyle="1" w:styleId="13113">
    <w:name w:val="ללא רשימה13113"/>
    <w:next w:val="NoList"/>
    <w:uiPriority w:val="99"/>
    <w:semiHidden/>
    <w:rsid w:val="00672A56"/>
  </w:style>
  <w:style w:type="table" w:customStyle="1" w:styleId="3212">
    <w:name w:val="רשימה בטבלה 321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1113">
    <w:name w:val="טבלת רשת31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13">
    <w:name w:val="ללא רשימה22113"/>
    <w:next w:val="NoList"/>
    <w:semiHidden/>
    <w:rsid w:val="00672A56"/>
  </w:style>
  <w:style w:type="table" w:customStyle="1" w:styleId="TableNormal211">
    <w:name w:val="Table Normal2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113">
    <w:name w:val="ללא רשימה112113"/>
    <w:next w:val="NoList"/>
    <w:uiPriority w:val="99"/>
    <w:semiHidden/>
    <w:rsid w:val="00672A56"/>
  </w:style>
  <w:style w:type="table" w:customStyle="1" w:styleId="12110">
    <w:name w:val="טבלת רשת12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30">
    <w:name w:val="ללא רשימה31113"/>
    <w:next w:val="NoList"/>
    <w:uiPriority w:val="99"/>
    <w:semiHidden/>
    <w:unhideWhenUsed/>
    <w:rsid w:val="00672A56"/>
  </w:style>
  <w:style w:type="numbering" w:customStyle="1" w:styleId="121113">
    <w:name w:val="ללא רשימה121113"/>
    <w:next w:val="NoList"/>
    <w:uiPriority w:val="99"/>
    <w:semiHidden/>
    <w:rsid w:val="00672A56"/>
  </w:style>
  <w:style w:type="table" w:customStyle="1" w:styleId="311110">
    <w:name w:val="רשימה בטבלה 311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110">
    <w:name w:val="טבלת רשת21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3">
    <w:name w:val="ללא רשימה211113"/>
    <w:next w:val="NoList"/>
    <w:semiHidden/>
    <w:rsid w:val="00672A56"/>
  </w:style>
  <w:style w:type="table" w:customStyle="1" w:styleId="TableNormal1111">
    <w:name w:val="Table Normal11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113">
    <w:name w:val="ללא רשימה1111113"/>
    <w:next w:val="NoList"/>
    <w:uiPriority w:val="99"/>
    <w:semiHidden/>
    <w:rsid w:val="00672A56"/>
  </w:style>
  <w:style w:type="table" w:customStyle="1" w:styleId="111110">
    <w:name w:val="טבלת רשת111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ללא רשימה61"/>
    <w:next w:val="NoList"/>
    <w:uiPriority w:val="99"/>
    <w:semiHidden/>
    <w:unhideWhenUsed/>
    <w:rsid w:val="00672A56"/>
  </w:style>
  <w:style w:type="table" w:customStyle="1" w:styleId="512">
    <w:name w:val="טבלת רשת5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
    <w:name w:val="ללא רשימה151"/>
    <w:next w:val="NoList"/>
    <w:uiPriority w:val="99"/>
    <w:semiHidden/>
    <w:unhideWhenUsed/>
    <w:rsid w:val="00672A56"/>
  </w:style>
  <w:style w:type="numbering" w:customStyle="1" w:styleId="1141">
    <w:name w:val="ללא רשימה1141"/>
    <w:next w:val="NoList"/>
    <w:uiPriority w:val="99"/>
    <w:semiHidden/>
    <w:rsid w:val="00672A56"/>
  </w:style>
  <w:style w:type="table" w:customStyle="1" w:styleId="3420">
    <w:name w:val="רשימה בטבלה 34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41">
    <w:name w:val="ללא רשימה241"/>
    <w:next w:val="NoList"/>
    <w:semiHidden/>
    <w:rsid w:val="00672A56"/>
  </w:style>
  <w:style w:type="numbering" w:customStyle="1" w:styleId="3310">
    <w:name w:val="ללא רשימה331"/>
    <w:next w:val="NoList"/>
    <w:uiPriority w:val="99"/>
    <w:semiHidden/>
    <w:unhideWhenUsed/>
    <w:rsid w:val="00672A56"/>
  </w:style>
  <w:style w:type="numbering" w:customStyle="1" w:styleId="1231">
    <w:name w:val="ללא רשימה1231"/>
    <w:next w:val="NoList"/>
    <w:uiPriority w:val="99"/>
    <w:semiHidden/>
    <w:rsid w:val="00672A56"/>
  </w:style>
  <w:style w:type="table" w:customStyle="1" w:styleId="31310">
    <w:name w:val="רשימה בטבלה 31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31">
    <w:name w:val="ללא רשימה2131"/>
    <w:next w:val="NoList"/>
    <w:semiHidden/>
    <w:rsid w:val="00672A56"/>
  </w:style>
  <w:style w:type="numbering" w:customStyle="1" w:styleId="11131">
    <w:name w:val="ללא רשימה11131"/>
    <w:next w:val="NoList"/>
    <w:uiPriority w:val="99"/>
    <w:semiHidden/>
    <w:rsid w:val="00672A56"/>
  </w:style>
  <w:style w:type="numbering" w:customStyle="1" w:styleId="421">
    <w:name w:val="ללא רשימה421"/>
    <w:next w:val="NoList"/>
    <w:uiPriority w:val="99"/>
    <w:semiHidden/>
    <w:unhideWhenUsed/>
    <w:rsid w:val="00672A56"/>
  </w:style>
  <w:style w:type="numbering" w:customStyle="1" w:styleId="1321">
    <w:name w:val="ללא רשימה1321"/>
    <w:next w:val="NoList"/>
    <w:uiPriority w:val="99"/>
    <w:semiHidden/>
    <w:rsid w:val="00672A56"/>
  </w:style>
  <w:style w:type="table" w:customStyle="1" w:styleId="32210">
    <w:name w:val="רשימה בטבלה 322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21">
    <w:name w:val="ללא רשימה2221"/>
    <w:next w:val="NoList"/>
    <w:semiHidden/>
    <w:rsid w:val="00672A56"/>
  </w:style>
  <w:style w:type="numbering" w:customStyle="1" w:styleId="11221">
    <w:name w:val="ללא רשימה11221"/>
    <w:next w:val="NoList"/>
    <w:uiPriority w:val="99"/>
    <w:semiHidden/>
    <w:rsid w:val="00672A56"/>
  </w:style>
  <w:style w:type="numbering" w:customStyle="1" w:styleId="31211">
    <w:name w:val="ללא רשימה3121"/>
    <w:next w:val="NoList"/>
    <w:uiPriority w:val="99"/>
    <w:semiHidden/>
    <w:unhideWhenUsed/>
    <w:rsid w:val="00672A56"/>
  </w:style>
  <w:style w:type="numbering" w:customStyle="1" w:styleId="12121">
    <w:name w:val="ללא רשימה12121"/>
    <w:next w:val="NoList"/>
    <w:uiPriority w:val="99"/>
    <w:semiHidden/>
    <w:rsid w:val="00672A56"/>
  </w:style>
  <w:style w:type="numbering" w:customStyle="1" w:styleId="21121">
    <w:name w:val="ללא רשימה21121"/>
    <w:next w:val="NoList"/>
    <w:semiHidden/>
    <w:rsid w:val="00672A56"/>
  </w:style>
  <w:style w:type="numbering" w:customStyle="1" w:styleId="111121">
    <w:name w:val="ללא רשימה111121"/>
    <w:next w:val="NoList"/>
    <w:uiPriority w:val="99"/>
    <w:semiHidden/>
    <w:rsid w:val="00672A56"/>
  </w:style>
  <w:style w:type="numbering" w:customStyle="1" w:styleId="5120">
    <w:name w:val="ללא רשימה512"/>
    <w:next w:val="NoList"/>
    <w:uiPriority w:val="99"/>
    <w:semiHidden/>
    <w:unhideWhenUsed/>
    <w:rsid w:val="00672A56"/>
  </w:style>
  <w:style w:type="numbering" w:customStyle="1" w:styleId="1411">
    <w:name w:val="ללא רשימה1411"/>
    <w:next w:val="NoList"/>
    <w:uiPriority w:val="99"/>
    <w:semiHidden/>
    <w:rsid w:val="00672A56"/>
  </w:style>
  <w:style w:type="numbering" w:customStyle="1" w:styleId="2311">
    <w:name w:val="ללא רשימה2311"/>
    <w:next w:val="NoList"/>
    <w:semiHidden/>
    <w:rsid w:val="00672A56"/>
  </w:style>
  <w:style w:type="numbering" w:customStyle="1" w:styleId="11311">
    <w:name w:val="ללא רשימה11311"/>
    <w:next w:val="NoList"/>
    <w:uiPriority w:val="99"/>
    <w:semiHidden/>
    <w:rsid w:val="00672A56"/>
  </w:style>
  <w:style w:type="numbering" w:customStyle="1" w:styleId="32110">
    <w:name w:val="ללא רשימה3211"/>
    <w:next w:val="NoList"/>
    <w:uiPriority w:val="99"/>
    <w:semiHidden/>
    <w:unhideWhenUsed/>
    <w:rsid w:val="00672A56"/>
  </w:style>
  <w:style w:type="numbering" w:customStyle="1" w:styleId="12211">
    <w:name w:val="ללא רשימה12211"/>
    <w:next w:val="NoList"/>
    <w:uiPriority w:val="99"/>
    <w:semiHidden/>
    <w:rsid w:val="00672A56"/>
  </w:style>
  <w:style w:type="numbering" w:customStyle="1" w:styleId="21211">
    <w:name w:val="ללא רשימה21211"/>
    <w:next w:val="NoList"/>
    <w:semiHidden/>
    <w:rsid w:val="00672A56"/>
  </w:style>
  <w:style w:type="numbering" w:customStyle="1" w:styleId="111211">
    <w:name w:val="ללא רשימה111211"/>
    <w:next w:val="NoList"/>
    <w:uiPriority w:val="99"/>
    <w:semiHidden/>
    <w:rsid w:val="00672A56"/>
  </w:style>
  <w:style w:type="numbering" w:customStyle="1" w:styleId="4121">
    <w:name w:val="ללא רשימה4121"/>
    <w:next w:val="NoList"/>
    <w:uiPriority w:val="99"/>
    <w:semiHidden/>
    <w:unhideWhenUsed/>
    <w:rsid w:val="00672A56"/>
  </w:style>
  <w:style w:type="numbering" w:customStyle="1" w:styleId="13121">
    <w:name w:val="ללא רשימה13121"/>
    <w:next w:val="NoList"/>
    <w:uiPriority w:val="99"/>
    <w:semiHidden/>
    <w:unhideWhenUsed/>
    <w:rsid w:val="00672A56"/>
  </w:style>
  <w:style w:type="numbering" w:customStyle="1" w:styleId="112121">
    <w:name w:val="ללא רשימה112121"/>
    <w:next w:val="NoList"/>
    <w:uiPriority w:val="99"/>
    <w:semiHidden/>
    <w:rsid w:val="00672A56"/>
  </w:style>
  <w:style w:type="numbering" w:customStyle="1" w:styleId="22121">
    <w:name w:val="ללא רשימה22121"/>
    <w:next w:val="NoList"/>
    <w:semiHidden/>
    <w:rsid w:val="00672A56"/>
  </w:style>
  <w:style w:type="numbering" w:customStyle="1" w:styleId="311210">
    <w:name w:val="ללא רשימה31121"/>
    <w:next w:val="NoList"/>
    <w:uiPriority w:val="99"/>
    <w:semiHidden/>
    <w:unhideWhenUsed/>
    <w:rsid w:val="00672A56"/>
  </w:style>
  <w:style w:type="numbering" w:customStyle="1" w:styleId="121121">
    <w:name w:val="ללא רשימה121121"/>
    <w:next w:val="NoList"/>
    <w:uiPriority w:val="99"/>
    <w:semiHidden/>
    <w:rsid w:val="00672A56"/>
  </w:style>
  <w:style w:type="numbering" w:customStyle="1" w:styleId="211121">
    <w:name w:val="ללא רשימה211121"/>
    <w:next w:val="NoList"/>
    <w:semiHidden/>
    <w:rsid w:val="00672A56"/>
  </w:style>
  <w:style w:type="numbering" w:customStyle="1" w:styleId="1111121">
    <w:name w:val="ללא רשימה1111121"/>
    <w:next w:val="NoList"/>
    <w:uiPriority w:val="99"/>
    <w:semiHidden/>
    <w:rsid w:val="00672A56"/>
  </w:style>
  <w:style w:type="numbering" w:customStyle="1" w:styleId="41112">
    <w:name w:val="ללא רשימה41112"/>
    <w:next w:val="NoList"/>
    <w:uiPriority w:val="99"/>
    <w:semiHidden/>
    <w:unhideWhenUsed/>
    <w:rsid w:val="00672A56"/>
  </w:style>
  <w:style w:type="numbering" w:customStyle="1" w:styleId="131111">
    <w:name w:val="ללא רשימה131111"/>
    <w:next w:val="NoList"/>
    <w:uiPriority w:val="99"/>
    <w:semiHidden/>
    <w:rsid w:val="00672A56"/>
  </w:style>
  <w:style w:type="numbering" w:customStyle="1" w:styleId="221111">
    <w:name w:val="ללא רשימה221111"/>
    <w:next w:val="NoList"/>
    <w:semiHidden/>
    <w:rsid w:val="00672A56"/>
  </w:style>
  <w:style w:type="numbering" w:customStyle="1" w:styleId="1121111">
    <w:name w:val="ללא רשימה1121111"/>
    <w:next w:val="NoList"/>
    <w:uiPriority w:val="99"/>
    <w:semiHidden/>
    <w:rsid w:val="00672A56"/>
  </w:style>
  <w:style w:type="numbering" w:customStyle="1" w:styleId="311112">
    <w:name w:val="ללא רשימה311112"/>
    <w:next w:val="NoList"/>
    <w:uiPriority w:val="99"/>
    <w:semiHidden/>
    <w:unhideWhenUsed/>
    <w:rsid w:val="00672A56"/>
  </w:style>
  <w:style w:type="numbering" w:customStyle="1" w:styleId="1211111">
    <w:name w:val="ללא רשימה1211111"/>
    <w:next w:val="NoList"/>
    <w:uiPriority w:val="99"/>
    <w:semiHidden/>
    <w:rsid w:val="00672A56"/>
  </w:style>
  <w:style w:type="numbering" w:customStyle="1" w:styleId="2111112">
    <w:name w:val="ללא רשימה2111112"/>
    <w:next w:val="NoList"/>
    <w:semiHidden/>
    <w:rsid w:val="00672A56"/>
  </w:style>
  <w:style w:type="numbering" w:customStyle="1" w:styleId="11111112">
    <w:name w:val="ללא רשימה11111112"/>
    <w:next w:val="NoList"/>
    <w:uiPriority w:val="99"/>
    <w:semiHidden/>
    <w:rsid w:val="00672A56"/>
  </w:style>
  <w:style w:type="numbering" w:customStyle="1" w:styleId="710">
    <w:name w:val="ללא רשימה71"/>
    <w:next w:val="NoList"/>
    <w:uiPriority w:val="99"/>
    <w:semiHidden/>
    <w:unhideWhenUsed/>
    <w:rsid w:val="00672A56"/>
  </w:style>
  <w:style w:type="table" w:customStyle="1" w:styleId="611">
    <w:name w:val="טבלת רשת6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1">
    <w:name w:val="ללא רשימה161"/>
    <w:next w:val="NoList"/>
    <w:uiPriority w:val="99"/>
    <w:semiHidden/>
    <w:unhideWhenUsed/>
    <w:rsid w:val="00672A56"/>
  </w:style>
  <w:style w:type="numbering" w:customStyle="1" w:styleId="1151">
    <w:name w:val="ללא רשימה1151"/>
    <w:next w:val="NoList"/>
    <w:uiPriority w:val="99"/>
    <w:semiHidden/>
    <w:rsid w:val="00672A56"/>
  </w:style>
  <w:style w:type="table" w:customStyle="1" w:styleId="3510">
    <w:name w:val="רשימה בטבלה 35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51">
    <w:name w:val="ללא רשימה251"/>
    <w:next w:val="NoList"/>
    <w:semiHidden/>
    <w:rsid w:val="00672A56"/>
  </w:style>
  <w:style w:type="numbering" w:customStyle="1" w:styleId="3410">
    <w:name w:val="ללא רשימה341"/>
    <w:next w:val="NoList"/>
    <w:uiPriority w:val="99"/>
    <w:semiHidden/>
    <w:unhideWhenUsed/>
    <w:rsid w:val="00672A56"/>
  </w:style>
  <w:style w:type="numbering" w:customStyle="1" w:styleId="1241">
    <w:name w:val="ללא רשימה1241"/>
    <w:next w:val="NoList"/>
    <w:uiPriority w:val="99"/>
    <w:semiHidden/>
    <w:rsid w:val="00672A56"/>
  </w:style>
  <w:style w:type="table" w:customStyle="1" w:styleId="31410">
    <w:name w:val="רשימה בטבלה 314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41">
    <w:name w:val="ללא רשימה2141"/>
    <w:next w:val="NoList"/>
    <w:semiHidden/>
    <w:rsid w:val="00672A56"/>
  </w:style>
  <w:style w:type="numbering" w:customStyle="1" w:styleId="11141">
    <w:name w:val="ללא רשימה11141"/>
    <w:next w:val="NoList"/>
    <w:uiPriority w:val="99"/>
    <w:semiHidden/>
    <w:rsid w:val="00672A56"/>
  </w:style>
  <w:style w:type="numbering" w:customStyle="1" w:styleId="431">
    <w:name w:val="ללא רשימה431"/>
    <w:next w:val="NoList"/>
    <w:uiPriority w:val="99"/>
    <w:semiHidden/>
    <w:unhideWhenUsed/>
    <w:rsid w:val="00672A56"/>
  </w:style>
  <w:style w:type="numbering" w:customStyle="1" w:styleId="1331">
    <w:name w:val="ללא רשימה1331"/>
    <w:next w:val="NoList"/>
    <w:uiPriority w:val="99"/>
    <w:semiHidden/>
    <w:rsid w:val="00672A56"/>
  </w:style>
  <w:style w:type="table" w:customStyle="1" w:styleId="3231">
    <w:name w:val="רשימה בטבלה 32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31">
    <w:name w:val="ללא רשימה2231"/>
    <w:next w:val="NoList"/>
    <w:semiHidden/>
    <w:rsid w:val="00672A56"/>
  </w:style>
  <w:style w:type="numbering" w:customStyle="1" w:styleId="11231">
    <w:name w:val="ללא רשימה11231"/>
    <w:next w:val="NoList"/>
    <w:uiPriority w:val="99"/>
    <w:semiHidden/>
    <w:rsid w:val="00672A56"/>
  </w:style>
  <w:style w:type="numbering" w:customStyle="1" w:styleId="31311">
    <w:name w:val="ללא רשימה3131"/>
    <w:next w:val="NoList"/>
    <w:uiPriority w:val="99"/>
    <w:semiHidden/>
    <w:unhideWhenUsed/>
    <w:rsid w:val="00672A56"/>
  </w:style>
  <w:style w:type="numbering" w:customStyle="1" w:styleId="12131">
    <w:name w:val="ללא רשימה12131"/>
    <w:next w:val="NoList"/>
    <w:uiPriority w:val="99"/>
    <w:semiHidden/>
    <w:rsid w:val="00672A56"/>
  </w:style>
  <w:style w:type="numbering" w:customStyle="1" w:styleId="21131">
    <w:name w:val="ללא רשימה21131"/>
    <w:next w:val="NoList"/>
    <w:semiHidden/>
    <w:rsid w:val="00672A56"/>
  </w:style>
  <w:style w:type="numbering" w:customStyle="1" w:styleId="111131">
    <w:name w:val="ללא רשימה111131"/>
    <w:next w:val="NoList"/>
    <w:uiPriority w:val="99"/>
    <w:semiHidden/>
    <w:rsid w:val="00672A56"/>
  </w:style>
  <w:style w:type="numbering" w:customStyle="1" w:styleId="521">
    <w:name w:val="ללא רשימה521"/>
    <w:next w:val="NoList"/>
    <w:uiPriority w:val="99"/>
    <w:semiHidden/>
    <w:unhideWhenUsed/>
    <w:rsid w:val="00672A56"/>
  </w:style>
  <w:style w:type="numbering" w:customStyle="1" w:styleId="1421">
    <w:name w:val="ללא רשימה1421"/>
    <w:next w:val="NoList"/>
    <w:uiPriority w:val="99"/>
    <w:semiHidden/>
    <w:rsid w:val="00672A56"/>
  </w:style>
  <w:style w:type="numbering" w:customStyle="1" w:styleId="2321">
    <w:name w:val="ללא רשימה2321"/>
    <w:next w:val="NoList"/>
    <w:semiHidden/>
    <w:rsid w:val="00672A56"/>
  </w:style>
  <w:style w:type="numbering" w:customStyle="1" w:styleId="11321">
    <w:name w:val="ללא רשימה11321"/>
    <w:next w:val="NoList"/>
    <w:uiPriority w:val="99"/>
    <w:semiHidden/>
    <w:rsid w:val="00672A56"/>
  </w:style>
  <w:style w:type="numbering" w:customStyle="1" w:styleId="32211">
    <w:name w:val="ללא רשימה3221"/>
    <w:next w:val="NoList"/>
    <w:uiPriority w:val="99"/>
    <w:semiHidden/>
    <w:unhideWhenUsed/>
    <w:rsid w:val="00672A56"/>
  </w:style>
  <w:style w:type="numbering" w:customStyle="1" w:styleId="12221">
    <w:name w:val="ללא רשימה12221"/>
    <w:next w:val="NoList"/>
    <w:uiPriority w:val="99"/>
    <w:semiHidden/>
    <w:rsid w:val="00672A56"/>
  </w:style>
  <w:style w:type="numbering" w:customStyle="1" w:styleId="21221">
    <w:name w:val="ללא רשימה21221"/>
    <w:next w:val="NoList"/>
    <w:semiHidden/>
    <w:rsid w:val="00672A56"/>
  </w:style>
  <w:style w:type="numbering" w:customStyle="1" w:styleId="111221">
    <w:name w:val="ללא רשימה111221"/>
    <w:next w:val="NoList"/>
    <w:uiPriority w:val="99"/>
    <w:semiHidden/>
    <w:rsid w:val="00672A56"/>
  </w:style>
  <w:style w:type="numbering" w:customStyle="1" w:styleId="4131">
    <w:name w:val="ללא רשימה4131"/>
    <w:next w:val="NoList"/>
    <w:uiPriority w:val="99"/>
    <w:semiHidden/>
    <w:unhideWhenUsed/>
    <w:rsid w:val="00672A56"/>
  </w:style>
  <w:style w:type="numbering" w:customStyle="1" w:styleId="13131">
    <w:name w:val="ללא רשימה13131"/>
    <w:next w:val="NoList"/>
    <w:uiPriority w:val="99"/>
    <w:semiHidden/>
    <w:unhideWhenUsed/>
    <w:rsid w:val="00672A56"/>
  </w:style>
  <w:style w:type="numbering" w:customStyle="1" w:styleId="112131">
    <w:name w:val="ללא רשימה112131"/>
    <w:next w:val="NoList"/>
    <w:uiPriority w:val="99"/>
    <w:semiHidden/>
    <w:rsid w:val="00672A56"/>
  </w:style>
  <w:style w:type="numbering" w:customStyle="1" w:styleId="22131">
    <w:name w:val="ללא רשימה22131"/>
    <w:next w:val="NoList"/>
    <w:semiHidden/>
    <w:rsid w:val="00672A56"/>
  </w:style>
  <w:style w:type="numbering" w:customStyle="1" w:styleId="31131">
    <w:name w:val="ללא רשימה31131"/>
    <w:next w:val="NoList"/>
    <w:uiPriority w:val="99"/>
    <w:semiHidden/>
    <w:unhideWhenUsed/>
    <w:rsid w:val="00672A56"/>
  </w:style>
  <w:style w:type="numbering" w:customStyle="1" w:styleId="121131">
    <w:name w:val="ללא רשימה121131"/>
    <w:next w:val="NoList"/>
    <w:uiPriority w:val="99"/>
    <w:semiHidden/>
    <w:rsid w:val="00672A56"/>
  </w:style>
  <w:style w:type="numbering" w:customStyle="1" w:styleId="211131">
    <w:name w:val="ללא רשימה211131"/>
    <w:next w:val="NoList"/>
    <w:semiHidden/>
    <w:rsid w:val="00672A56"/>
  </w:style>
  <w:style w:type="numbering" w:customStyle="1" w:styleId="1111131">
    <w:name w:val="ללא רשימה1111131"/>
    <w:next w:val="NoList"/>
    <w:uiPriority w:val="99"/>
    <w:semiHidden/>
    <w:rsid w:val="00672A56"/>
  </w:style>
  <w:style w:type="numbering" w:customStyle="1" w:styleId="41121">
    <w:name w:val="ללא רשימה41121"/>
    <w:next w:val="NoList"/>
    <w:uiPriority w:val="99"/>
    <w:semiHidden/>
    <w:unhideWhenUsed/>
    <w:rsid w:val="00672A56"/>
  </w:style>
  <w:style w:type="numbering" w:customStyle="1" w:styleId="131121">
    <w:name w:val="ללא רשימה131121"/>
    <w:next w:val="NoList"/>
    <w:uiPriority w:val="99"/>
    <w:semiHidden/>
    <w:rsid w:val="00672A56"/>
  </w:style>
  <w:style w:type="numbering" w:customStyle="1" w:styleId="221121">
    <w:name w:val="ללא רשימה221121"/>
    <w:next w:val="NoList"/>
    <w:semiHidden/>
    <w:rsid w:val="00672A56"/>
  </w:style>
  <w:style w:type="numbering" w:customStyle="1" w:styleId="1121121">
    <w:name w:val="ללא רשימה1121121"/>
    <w:next w:val="NoList"/>
    <w:uiPriority w:val="99"/>
    <w:semiHidden/>
    <w:rsid w:val="00672A56"/>
  </w:style>
  <w:style w:type="numbering" w:customStyle="1" w:styleId="311121">
    <w:name w:val="ללא רשימה311121"/>
    <w:next w:val="NoList"/>
    <w:uiPriority w:val="99"/>
    <w:semiHidden/>
    <w:unhideWhenUsed/>
    <w:rsid w:val="00672A56"/>
  </w:style>
  <w:style w:type="numbering" w:customStyle="1" w:styleId="1211121">
    <w:name w:val="ללא רשימה1211121"/>
    <w:next w:val="NoList"/>
    <w:uiPriority w:val="99"/>
    <w:semiHidden/>
    <w:rsid w:val="00672A56"/>
  </w:style>
  <w:style w:type="numbering" w:customStyle="1" w:styleId="2111121">
    <w:name w:val="ללא רשימה2111121"/>
    <w:next w:val="NoList"/>
    <w:semiHidden/>
    <w:rsid w:val="00672A56"/>
  </w:style>
  <w:style w:type="numbering" w:customStyle="1" w:styleId="11111121">
    <w:name w:val="ללא רשימה11111121"/>
    <w:next w:val="NoList"/>
    <w:uiPriority w:val="99"/>
    <w:semiHidden/>
    <w:rsid w:val="00672A56"/>
  </w:style>
  <w:style w:type="character" w:styleId="SubtleReference">
    <w:name w:val="Subtle Reference"/>
    <w:basedOn w:val="DefaultParagraphFont"/>
    <w:uiPriority w:val="31"/>
    <w:qFormat/>
    <w:rsid w:val="00672A56"/>
    <w:rPr>
      <w:smallCaps/>
      <w:color w:val="5A5A5A" w:themeColor="text1" w:themeTint="A5"/>
    </w:rPr>
  </w:style>
  <w:style w:type="paragraph" w:customStyle="1" w:styleId="paragraph2">
    <w:name w:val="paragraph2 תו תו תו תו"/>
    <w:basedOn w:val="Normal"/>
    <w:link w:val="paragraph20"/>
    <w:uiPriority w:val="99"/>
    <w:rsid w:val="00FC7886"/>
    <w:pPr>
      <w:spacing w:before="60" w:after="60" w:line="320" w:lineRule="atLeast"/>
      <w:ind w:left="1021" w:right="0"/>
      <w:contextualSpacing/>
    </w:pPr>
    <w:rPr>
      <w:color w:val="auto"/>
      <w:sz w:val="24"/>
      <w:szCs w:val="24"/>
    </w:rPr>
  </w:style>
  <w:style w:type="character" w:customStyle="1" w:styleId="paragraph20">
    <w:name w:val="paragraph2 תו תו תו תו תו"/>
    <w:basedOn w:val="DefaultParagraphFont"/>
    <w:link w:val="paragraph2"/>
    <w:uiPriority w:val="99"/>
    <w:locked/>
    <w:rsid w:val="00FC7886"/>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832405">
      <w:bodyDiv w:val="1"/>
      <w:marLeft w:val="0"/>
      <w:marRight w:val="0"/>
      <w:marTop w:val="0"/>
      <w:marBottom w:val="0"/>
      <w:divBdr>
        <w:top w:val="none" w:sz="0" w:space="0" w:color="auto"/>
        <w:left w:val="none" w:sz="0" w:space="0" w:color="auto"/>
        <w:bottom w:val="none" w:sz="0" w:space="0" w:color="auto"/>
        <w:right w:val="none" w:sz="0" w:space="0" w:color="auto"/>
      </w:divBdr>
    </w:div>
    <w:div w:id="31618508">
      <w:bodyDiv w:val="1"/>
      <w:marLeft w:val="0"/>
      <w:marRight w:val="0"/>
      <w:marTop w:val="0"/>
      <w:marBottom w:val="0"/>
      <w:divBdr>
        <w:top w:val="none" w:sz="0" w:space="0" w:color="auto"/>
        <w:left w:val="none" w:sz="0" w:space="0" w:color="auto"/>
        <w:bottom w:val="none" w:sz="0" w:space="0" w:color="auto"/>
        <w:right w:val="none" w:sz="0" w:space="0" w:color="auto"/>
      </w:divBdr>
    </w:div>
    <w:div w:id="32774361">
      <w:bodyDiv w:val="1"/>
      <w:marLeft w:val="0"/>
      <w:marRight w:val="0"/>
      <w:marTop w:val="0"/>
      <w:marBottom w:val="0"/>
      <w:divBdr>
        <w:top w:val="none" w:sz="0" w:space="0" w:color="auto"/>
        <w:left w:val="none" w:sz="0" w:space="0" w:color="auto"/>
        <w:bottom w:val="none" w:sz="0" w:space="0" w:color="auto"/>
        <w:right w:val="none" w:sz="0" w:space="0" w:color="auto"/>
      </w:divBdr>
    </w:div>
    <w:div w:id="43910752">
      <w:bodyDiv w:val="1"/>
      <w:marLeft w:val="0"/>
      <w:marRight w:val="0"/>
      <w:marTop w:val="0"/>
      <w:marBottom w:val="0"/>
      <w:divBdr>
        <w:top w:val="none" w:sz="0" w:space="0" w:color="auto"/>
        <w:left w:val="none" w:sz="0" w:space="0" w:color="auto"/>
        <w:bottom w:val="none" w:sz="0" w:space="0" w:color="auto"/>
        <w:right w:val="none" w:sz="0" w:space="0" w:color="auto"/>
      </w:divBdr>
    </w:div>
    <w:div w:id="68701380">
      <w:bodyDiv w:val="1"/>
      <w:marLeft w:val="0"/>
      <w:marRight w:val="0"/>
      <w:marTop w:val="0"/>
      <w:marBottom w:val="0"/>
      <w:divBdr>
        <w:top w:val="none" w:sz="0" w:space="0" w:color="auto"/>
        <w:left w:val="none" w:sz="0" w:space="0" w:color="auto"/>
        <w:bottom w:val="none" w:sz="0" w:space="0" w:color="auto"/>
        <w:right w:val="none" w:sz="0" w:space="0" w:color="auto"/>
      </w:divBdr>
    </w:div>
    <w:div w:id="101805192">
      <w:bodyDiv w:val="1"/>
      <w:marLeft w:val="0"/>
      <w:marRight w:val="0"/>
      <w:marTop w:val="0"/>
      <w:marBottom w:val="0"/>
      <w:divBdr>
        <w:top w:val="none" w:sz="0" w:space="0" w:color="auto"/>
        <w:left w:val="none" w:sz="0" w:space="0" w:color="auto"/>
        <w:bottom w:val="none" w:sz="0" w:space="0" w:color="auto"/>
        <w:right w:val="none" w:sz="0" w:space="0" w:color="auto"/>
      </w:divBdr>
    </w:div>
    <w:div w:id="111635016">
      <w:bodyDiv w:val="1"/>
      <w:marLeft w:val="0"/>
      <w:marRight w:val="0"/>
      <w:marTop w:val="0"/>
      <w:marBottom w:val="0"/>
      <w:divBdr>
        <w:top w:val="none" w:sz="0" w:space="0" w:color="auto"/>
        <w:left w:val="none" w:sz="0" w:space="0" w:color="auto"/>
        <w:bottom w:val="none" w:sz="0" w:space="0" w:color="auto"/>
        <w:right w:val="none" w:sz="0" w:space="0" w:color="auto"/>
      </w:divBdr>
    </w:div>
    <w:div w:id="130559534">
      <w:bodyDiv w:val="1"/>
      <w:marLeft w:val="0"/>
      <w:marRight w:val="0"/>
      <w:marTop w:val="0"/>
      <w:marBottom w:val="0"/>
      <w:divBdr>
        <w:top w:val="none" w:sz="0" w:space="0" w:color="auto"/>
        <w:left w:val="none" w:sz="0" w:space="0" w:color="auto"/>
        <w:bottom w:val="none" w:sz="0" w:space="0" w:color="auto"/>
        <w:right w:val="none" w:sz="0" w:space="0" w:color="auto"/>
      </w:divBdr>
    </w:div>
    <w:div w:id="192113828">
      <w:bodyDiv w:val="1"/>
      <w:marLeft w:val="0"/>
      <w:marRight w:val="0"/>
      <w:marTop w:val="0"/>
      <w:marBottom w:val="0"/>
      <w:divBdr>
        <w:top w:val="none" w:sz="0" w:space="0" w:color="auto"/>
        <w:left w:val="none" w:sz="0" w:space="0" w:color="auto"/>
        <w:bottom w:val="none" w:sz="0" w:space="0" w:color="auto"/>
        <w:right w:val="none" w:sz="0" w:space="0" w:color="auto"/>
      </w:divBdr>
    </w:div>
    <w:div w:id="239995431">
      <w:bodyDiv w:val="1"/>
      <w:marLeft w:val="0"/>
      <w:marRight w:val="0"/>
      <w:marTop w:val="0"/>
      <w:marBottom w:val="0"/>
      <w:divBdr>
        <w:top w:val="none" w:sz="0" w:space="0" w:color="auto"/>
        <w:left w:val="none" w:sz="0" w:space="0" w:color="auto"/>
        <w:bottom w:val="none" w:sz="0" w:space="0" w:color="auto"/>
        <w:right w:val="none" w:sz="0" w:space="0" w:color="auto"/>
      </w:divBdr>
    </w:div>
    <w:div w:id="272784812">
      <w:bodyDiv w:val="1"/>
      <w:marLeft w:val="0"/>
      <w:marRight w:val="0"/>
      <w:marTop w:val="0"/>
      <w:marBottom w:val="0"/>
      <w:divBdr>
        <w:top w:val="none" w:sz="0" w:space="0" w:color="auto"/>
        <w:left w:val="none" w:sz="0" w:space="0" w:color="auto"/>
        <w:bottom w:val="none" w:sz="0" w:space="0" w:color="auto"/>
        <w:right w:val="none" w:sz="0" w:space="0" w:color="auto"/>
      </w:divBdr>
    </w:div>
    <w:div w:id="334773271">
      <w:bodyDiv w:val="1"/>
      <w:marLeft w:val="0"/>
      <w:marRight w:val="0"/>
      <w:marTop w:val="0"/>
      <w:marBottom w:val="0"/>
      <w:divBdr>
        <w:top w:val="none" w:sz="0" w:space="0" w:color="auto"/>
        <w:left w:val="none" w:sz="0" w:space="0" w:color="auto"/>
        <w:bottom w:val="none" w:sz="0" w:space="0" w:color="auto"/>
        <w:right w:val="none" w:sz="0" w:space="0" w:color="auto"/>
      </w:divBdr>
    </w:div>
    <w:div w:id="380442800">
      <w:bodyDiv w:val="1"/>
      <w:marLeft w:val="0"/>
      <w:marRight w:val="0"/>
      <w:marTop w:val="0"/>
      <w:marBottom w:val="0"/>
      <w:divBdr>
        <w:top w:val="none" w:sz="0" w:space="0" w:color="auto"/>
        <w:left w:val="none" w:sz="0" w:space="0" w:color="auto"/>
        <w:bottom w:val="none" w:sz="0" w:space="0" w:color="auto"/>
        <w:right w:val="none" w:sz="0" w:space="0" w:color="auto"/>
      </w:divBdr>
    </w:div>
    <w:div w:id="444423247">
      <w:bodyDiv w:val="1"/>
      <w:marLeft w:val="0"/>
      <w:marRight w:val="0"/>
      <w:marTop w:val="0"/>
      <w:marBottom w:val="0"/>
      <w:divBdr>
        <w:top w:val="none" w:sz="0" w:space="0" w:color="auto"/>
        <w:left w:val="none" w:sz="0" w:space="0" w:color="auto"/>
        <w:bottom w:val="none" w:sz="0" w:space="0" w:color="auto"/>
        <w:right w:val="none" w:sz="0" w:space="0" w:color="auto"/>
      </w:divBdr>
    </w:div>
    <w:div w:id="519205529">
      <w:bodyDiv w:val="1"/>
      <w:marLeft w:val="0"/>
      <w:marRight w:val="0"/>
      <w:marTop w:val="0"/>
      <w:marBottom w:val="0"/>
      <w:divBdr>
        <w:top w:val="none" w:sz="0" w:space="0" w:color="auto"/>
        <w:left w:val="none" w:sz="0" w:space="0" w:color="auto"/>
        <w:bottom w:val="none" w:sz="0" w:space="0" w:color="auto"/>
        <w:right w:val="none" w:sz="0" w:space="0" w:color="auto"/>
      </w:divBdr>
    </w:div>
    <w:div w:id="523785902">
      <w:bodyDiv w:val="1"/>
      <w:marLeft w:val="0"/>
      <w:marRight w:val="0"/>
      <w:marTop w:val="0"/>
      <w:marBottom w:val="0"/>
      <w:divBdr>
        <w:top w:val="none" w:sz="0" w:space="0" w:color="auto"/>
        <w:left w:val="none" w:sz="0" w:space="0" w:color="auto"/>
        <w:bottom w:val="none" w:sz="0" w:space="0" w:color="auto"/>
        <w:right w:val="none" w:sz="0" w:space="0" w:color="auto"/>
      </w:divBdr>
    </w:div>
    <w:div w:id="545719858">
      <w:bodyDiv w:val="1"/>
      <w:marLeft w:val="0"/>
      <w:marRight w:val="0"/>
      <w:marTop w:val="0"/>
      <w:marBottom w:val="0"/>
      <w:divBdr>
        <w:top w:val="none" w:sz="0" w:space="0" w:color="auto"/>
        <w:left w:val="none" w:sz="0" w:space="0" w:color="auto"/>
        <w:bottom w:val="none" w:sz="0" w:space="0" w:color="auto"/>
        <w:right w:val="none" w:sz="0" w:space="0" w:color="auto"/>
      </w:divBdr>
    </w:div>
    <w:div w:id="564606538">
      <w:bodyDiv w:val="1"/>
      <w:marLeft w:val="0"/>
      <w:marRight w:val="0"/>
      <w:marTop w:val="0"/>
      <w:marBottom w:val="0"/>
      <w:divBdr>
        <w:top w:val="none" w:sz="0" w:space="0" w:color="auto"/>
        <w:left w:val="none" w:sz="0" w:space="0" w:color="auto"/>
        <w:bottom w:val="none" w:sz="0" w:space="0" w:color="auto"/>
        <w:right w:val="none" w:sz="0" w:space="0" w:color="auto"/>
      </w:divBdr>
    </w:div>
    <w:div w:id="596016965">
      <w:bodyDiv w:val="1"/>
      <w:marLeft w:val="0"/>
      <w:marRight w:val="0"/>
      <w:marTop w:val="0"/>
      <w:marBottom w:val="0"/>
      <w:divBdr>
        <w:top w:val="none" w:sz="0" w:space="0" w:color="auto"/>
        <w:left w:val="none" w:sz="0" w:space="0" w:color="auto"/>
        <w:bottom w:val="none" w:sz="0" w:space="0" w:color="auto"/>
        <w:right w:val="none" w:sz="0" w:space="0" w:color="auto"/>
      </w:divBdr>
    </w:div>
    <w:div w:id="616716043">
      <w:bodyDiv w:val="1"/>
      <w:marLeft w:val="0"/>
      <w:marRight w:val="0"/>
      <w:marTop w:val="0"/>
      <w:marBottom w:val="0"/>
      <w:divBdr>
        <w:top w:val="none" w:sz="0" w:space="0" w:color="auto"/>
        <w:left w:val="none" w:sz="0" w:space="0" w:color="auto"/>
        <w:bottom w:val="none" w:sz="0" w:space="0" w:color="auto"/>
        <w:right w:val="none" w:sz="0" w:space="0" w:color="auto"/>
      </w:divBdr>
    </w:div>
    <w:div w:id="627468975">
      <w:bodyDiv w:val="1"/>
      <w:marLeft w:val="0"/>
      <w:marRight w:val="0"/>
      <w:marTop w:val="0"/>
      <w:marBottom w:val="0"/>
      <w:divBdr>
        <w:top w:val="none" w:sz="0" w:space="0" w:color="auto"/>
        <w:left w:val="none" w:sz="0" w:space="0" w:color="auto"/>
        <w:bottom w:val="none" w:sz="0" w:space="0" w:color="auto"/>
        <w:right w:val="none" w:sz="0" w:space="0" w:color="auto"/>
      </w:divBdr>
    </w:div>
    <w:div w:id="654794475">
      <w:bodyDiv w:val="1"/>
      <w:marLeft w:val="0"/>
      <w:marRight w:val="0"/>
      <w:marTop w:val="0"/>
      <w:marBottom w:val="0"/>
      <w:divBdr>
        <w:top w:val="none" w:sz="0" w:space="0" w:color="auto"/>
        <w:left w:val="none" w:sz="0" w:space="0" w:color="auto"/>
        <w:bottom w:val="none" w:sz="0" w:space="0" w:color="auto"/>
        <w:right w:val="none" w:sz="0" w:space="0" w:color="auto"/>
      </w:divBdr>
    </w:div>
    <w:div w:id="720983422">
      <w:bodyDiv w:val="1"/>
      <w:marLeft w:val="0"/>
      <w:marRight w:val="0"/>
      <w:marTop w:val="0"/>
      <w:marBottom w:val="0"/>
      <w:divBdr>
        <w:top w:val="none" w:sz="0" w:space="0" w:color="auto"/>
        <w:left w:val="none" w:sz="0" w:space="0" w:color="auto"/>
        <w:bottom w:val="none" w:sz="0" w:space="0" w:color="auto"/>
        <w:right w:val="none" w:sz="0" w:space="0" w:color="auto"/>
      </w:divBdr>
    </w:div>
    <w:div w:id="721487349">
      <w:bodyDiv w:val="1"/>
      <w:marLeft w:val="0"/>
      <w:marRight w:val="0"/>
      <w:marTop w:val="0"/>
      <w:marBottom w:val="0"/>
      <w:divBdr>
        <w:top w:val="none" w:sz="0" w:space="0" w:color="auto"/>
        <w:left w:val="none" w:sz="0" w:space="0" w:color="auto"/>
        <w:bottom w:val="none" w:sz="0" w:space="0" w:color="auto"/>
        <w:right w:val="none" w:sz="0" w:space="0" w:color="auto"/>
      </w:divBdr>
    </w:div>
    <w:div w:id="746194957">
      <w:bodyDiv w:val="1"/>
      <w:marLeft w:val="0"/>
      <w:marRight w:val="0"/>
      <w:marTop w:val="0"/>
      <w:marBottom w:val="0"/>
      <w:divBdr>
        <w:top w:val="none" w:sz="0" w:space="0" w:color="auto"/>
        <w:left w:val="none" w:sz="0" w:space="0" w:color="auto"/>
        <w:bottom w:val="none" w:sz="0" w:space="0" w:color="auto"/>
        <w:right w:val="none" w:sz="0" w:space="0" w:color="auto"/>
      </w:divBdr>
    </w:div>
    <w:div w:id="829294636">
      <w:bodyDiv w:val="1"/>
      <w:marLeft w:val="0"/>
      <w:marRight w:val="0"/>
      <w:marTop w:val="0"/>
      <w:marBottom w:val="0"/>
      <w:divBdr>
        <w:top w:val="none" w:sz="0" w:space="0" w:color="auto"/>
        <w:left w:val="none" w:sz="0" w:space="0" w:color="auto"/>
        <w:bottom w:val="none" w:sz="0" w:space="0" w:color="auto"/>
        <w:right w:val="none" w:sz="0" w:space="0" w:color="auto"/>
      </w:divBdr>
    </w:div>
    <w:div w:id="869495508">
      <w:bodyDiv w:val="1"/>
      <w:marLeft w:val="0"/>
      <w:marRight w:val="0"/>
      <w:marTop w:val="0"/>
      <w:marBottom w:val="0"/>
      <w:divBdr>
        <w:top w:val="none" w:sz="0" w:space="0" w:color="auto"/>
        <w:left w:val="none" w:sz="0" w:space="0" w:color="auto"/>
        <w:bottom w:val="none" w:sz="0" w:space="0" w:color="auto"/>
        <w:right w:val="none" w:sz="0" w:space="0" w:color="auto"/>
      </w:divBdr>
    </w:div>
    <w:div w:id="1041520644">
      <w:bodyDiv w:val="1"/>
      <w:marLeft w:val="0"/>
      <w:marRight w:val="0"/>
      <w:marTop w:val="0"/>
      <w:marBottom w:val="0"/>
      <w:divBdr>
        <w:top w:val="none" w:sz="0" w:space="0" w:color="auto"/>
        <w:left w:val="none" w:sz="0" w:space="0" w:color="auto"/>
        <w:bottom w:val="none" w:sz="0" w:space="0" w:color="auto"/>
        <w:right w:val="none" w:sz="0" w:space="0" w:color="auto"/>
      </w:divBdr>
    </w:div>
    <w:div w:id="1057826861">
      <w:bodyDiv w:val="1"/>
      <w:marLeft w:val="0"/>
      <w:marRight w:val="0"/>
      <w:marTop w:val="0"/>
      <w:marBottom w:val="0"/>
      <w:divBdr>
        <w:top w:val="none" w:sz="0" w:space="0" w:color="auto"/>
        <w:left w:val="none" w:sz="0" w:space="0" w:color="auto"/>
        <w:bottom w:val="none" w:sz="0" w:space="0" w:color="auto"/>
        <w:right w:val="none" w:sz="0" w:space="0" w:color="auto"/>
      </w:divBdr>
    </w:div>
    <w:div w:id="1086263737">
      <w:bodyDiv w:val="1"/>
      <w:marLeft w:val="0"/>
      <w:marRight w:val="0"/>
      <w:marTop w:val="0"/>
      <w:marBottom w:val="0"/>
      <w:divBdr>
        <w:top w:val="none" w:sz="0" w:space="0" w:color="auto"/>
        <w:left w:val="none" w:sz="0" w:space="0" w:color="auto"/>
        <w:bottom w:val="none" w:sz="0" w:space="0" w:color="auto"/>
        <w:right w:val="none" w:sz="0" w:space="0" w:color="auto"/>
      </w:divBdr>
    </w:div>
    <w:div w:id="1155103499">
      <w:bodyDiv w:val="1"/>
      <w:marLeft w:val="0"/>
      <w:marRight w:val="0"/>
      <w:marTop w:val="0"/>
      <w:marBottom w:val="0"/>
      <w:divBdr>
        <w:top w:val="none" w:sz="0" w:space="0" w:color="auto"/>
        <w:left w:val="none" w:sz="0" w:space="0" w:color="auto"/>
        <w:bottom w:val="none" w:sz="0" w:space="0" w:color="auto"/>
        <w:right w:val="none" w:sz="0" w:space="0" w:color="auto"/>
      </w:divBdr>
    </w:div>
    <w:div w:id="1267956655">
      <w:bodyDiv w:val="1"/>
      <w:marLeft w:val="0"/>
      <w:marRight w:val="0"/>
      <w:marTop w:val="0"/>
      <w:marBottom w:val="0"/>
      <w:divBdr>
        <w:top w:val="none" w:sz="0" w:space="0" w:color="auto"/>
        <w:left w:val="none" w:sz="0" w:space="0" w:color="auto"/>
        <w:bottom w:val="none" w:sz="0" w:space="0" w:color="auto"/>
        <w:right w:val="none" w:sz="0" w:space="0" w:color="auto"/>
      </w:divBdr>
    </w:div>
    <w:div w:id="1272207979">
      <w:bodyDiv w:val="1"/>
      <w:marLeft w:val="0"/>
      <w:marRight w:val="0"/>
      <w:marTop w:val="0"/>
      <w:marBottom w:val="0"/>
      <w:divBdr>
        <w:top w:val="none" w:sz="0" w:space="0" w:color="auto"/>
        <w:left w:val="none" w:sz="0" w:space="0" w:color="auto"/>
        <w:bottom w:val="none" w:sz="0" w:space="0" w:color="auto"/>
        <w:right w:val="none" w:sz="0" w:space="0" w:color="auto"/>
      </w:divBdr>
    </w:div>
    <w:div w:id="1290891770">
      <w:bodyDiv w:val="1"/>
      <w:marLeft w:val="0"/>
      <w:marRight w:val="0"/>
      <w:marTop w:val="0"/>
      <w:marBottom w:val="0"/>
      <w:divBdr>
        <w:top w:val="none" w:sz="0" w:space="0" w:color="auto"/>
        <w:left w:val="none" w:sz="0" w:space="0" w:color="auto"/>
        <w:bottom w:val="none" w:sz="0" w:space="0" w:color="auto"/>
        <w:right w:val="none" w:sz="0" w:space="0" w:color="auto"/>
      </w:divBdr>
    </w:div>
    <w:div w:id="1316757702">
      <w:bodyDiv w:val="1"/>
      <w:marLeft w:val="0"/>
      <w:marRight w:val="0"/>
      <w:marTop w:val="0"/>
      <w:marBottom w:val="0"/>
      <w:divBdr>
        <w:top w:val="none" w:sz="0" w:space="0" w:color="auto"/>
        <w:left w:val="none" w:sz="0" w:space="0" w:color="auto"/>
        <w:bottom w:val="none" w:sz="0" w:space="0" w:color="auto"/>
        <w:right w:val="none" w:sz="0" w:space="0" w:color="auto"/>
      </w:divBdr>
    </w:div>
    <w:div w:id="1329678466">
      <w:bodyDiv w:val="1"/>
      <w:marLeft w:val="0"/>
      <w:marRight w:val="0"/>
      <w:marTop w:val="0"/>
      <w:marBottom w:val="0"/>
      <w:divBdr>
        <w:top w:val="none" w:sz="0" w:space="0" w:color="auto"/>
        <w:left w:val="none" w:sz="0" w:space="0" w:color="auto"/>
        <w:bottom w:val="none" w:sz="0" w:space="0" w:color="auto"/>
        <w:right w:val="none" w:sz="0" w:space="0" w:color="auto"/>
      </w:divBdr>
    </w:div>
    <w:div w:id="1364743707">
      <w:bodyDiv w:val="1"/>
      <w:marLeft w:val="0"/>
      <w:marRight w:val="0"/>
      <w:marTop w:val="0"/>
      <w:marBottom w:val="0"/>
      <w:divBdr>
        <w:top w:val="none" w:sz="0" w:space="0" w:color="auto"/>
        <w:left w:val="none" w:sz="0" w:space="0" w:color="auto"/>
        <w:bottom w:val="none" w:sz="0" w:space="0" w:color="auto"/>
        <w:right w:val="none" w:sz="0" w:space="0" w:color="auto"/>
      </w:divBdr>
    </w:div>
    <w:div w:id="1377509491">
      <w:bodyDiv w:val="1"/>
      <w:marLeft w:val="0"/>
      <w:marRight w:val="0"/>
      <w:marTop w:val="0"/>
      <w:marBottom w:val="0"/>
      <w:divBdr>
        <w:top w:val="none" w:sz="0" w:space="0" w:color="auto"/>
        <w:left w:val="none" w:sz="0" w:space="0" w:color="auto"/>
        <w:bottom w:val="none" w:sz="0" w:space="0" w:color="auto"/>
        <w:right w:val="none" w:sz="0" w:space="0" w:color="auto"/>
      </w:divBdr>
    </w:div>
    <w:div w:id="1396398175">
      <w:bodyDiv w:val="1"/>
      <w:marLeft w:val="0"/>
      <w:marRight w:val="0"/>
      <w:marTop w:val="0"/>
      <w:marBottom w:val="0"/>
      <w:divBdr>
        <w:top w:val="none" w:sz="0" w:space="0" w:color="auto"/>
        <w:left w:val="none" w:sz="0" w:space="0" w:color="auto"/>
        <w:bottom w:val="none" w:sz="0" w:space="0" w:color="auto"/>
        <w:right w:val="none" w:sz="0" w:space="0" w:color="auto"/>
      </w:divBdr>
    </w:div>
    <w:div w:id="1402875117">
      <w:bodyDiv w:val="1"/>
      <w:marLeft w:val="0"/>
      <w:marRight w:val="0"/>
      <w:marTop w:val="0"/>
      <w:marBottom w:val="0"/>
      <w:divBdr>
        <w:top w:val="none" w:sz="0" w:space="0" w:color="auto"/>
        <w:left w:val="none" w:sz="0" w:space="0" w:color="auto"/>
        <w:bottom w:val="none" w:sz="0" w:space="0" w:color="auto"/>
        <w:right w:val="none" w:sz="0" w:space="0" w:color="auto"/>
      </w:divBdr>
    </w:div>
    <w:div w:id="1414549959">
      <w:bodyDiv w:val="1"/>
      <w:marLeft w:val="0"/>
      <w:marRight w:val="0"/>
      <w:marTop w:val="0"/>
      <w:marBottom w:val="0"/>
      <w:divBdr>
        <w:top w:val="none" w:sz="0" w:space="0" w:color="auto"/>
        <w:left w:val="none" w:sz="0" w:space="0" w:color="auto"/>
        <w:bottom w:val="none" w:sz="0" w:space="0" w:color="auto"/>
        <w:right w:val="none" w:sz="0" w:space="0" w:color="auto"/>
      </w:divBdr>
    </w:div>
    <w:div w:id="1423379002">
      <w:bodyDiv w:val="1"/>
      <w:marLeft w:val="0"/>
      <w:marRight w:val="0"/>
      <w:marTop w:val="0"/>
      <w:marBottom w:val="0"/>
      <w:divBdr>
        <w:top w:val="none" w:sz="0" w:space="0" w:color="auto"/>
        <w:left w:val="none" w:sz="0" w:space="0" w:color="auto"/>
        <w:bottom w:val="none" w:sz="0" w:space="0" w:color="auto"/>
        <w:right w:val="none" w:sz="0" w:space="0" w:color="auto"/>
      </w:divBdr>
    </w:div>
    <w:div w:id="1498617062">
      <w:bodyDiv w:val="1"/>
      <w:marLeft w:val="0"/>
      <w:marRight w:val="0"/>
      <w:marTop w:val="0"/>
      <w:marBottom w:val="0"/>
      <w:divBdr>
        <w:top w:val="none" w:sz="0" w:space="0" w:color="auto"/>
        <w:left w:val="none" w:sz="0" w:space="0" w:color="auto"/>
        <w:bottom w:val="none" w:sz="0" w:space="0" w:color="auto"/>
        <w:right w:val="none" w:sz="0" w:space="0" w:color="auto"/>
      </w:divBdr>
    </w:div>
    <w:div w:id="1575553797">
      <w:bodyDiv w:val="1"/>
      <w:marLeft w:val="0"/>
      <w:marRight w:val="0"/>
      <w:marTop w:val="0"/>
      <w:marBottom w:val="0"/>
      <w:divBdr>
        <w:top w:val="none" w:sz="0" w:space="0" w:color="auto"/>
        <w:left w:val="none" w:sz="0" w:space="0" w:color="auto"/>
        <w:bottom w:val="none" w:sz="0" w:space="0" w:color="auto"/>
        <w:right w:val="none" w:sz="0" w:space="0" w:color="auto"/>
      </w:divBdr>
    </w:div>
    <w:div w:id="1662083508">
      <w:bodyDiv w:val="1"/>
      <w:marLeft w:val="0"/>
      <w:marRight w:val="0"/>
      <w:marTop w:val="0"/>
      <w:marBottom w:val="0"/>
      <w:divBdr>
        <w:top w:val="none" w:sz="0" w:space="0" w:color="auto"/>
        <w:left w:val="none" w:sz="0" w:space="0" w:color="auto"/>
        <w:bottom w:val="none" w:sz="0" w:space="0" w:color="auto"/>
        <w:right w:val="none" w:sz="0" w:space="0" w:color="auto"/>
      </w:divBdr>
    </w:div>
    <w:div w:id="1678729751">
      <w:bodyDiv w:val="1"/>
      <w:marLeft w:val="0"/>
      <w:marRight w:val="0"/>
      <w:marTop w:val="0"/>
      <w:marBottom w:val="0"/>
      <w:divBdr>
        <w:top w:val="none" w:sz="0" w:space="0" w:color="auto"/>
        <w:left w:val="none" w:sz="0" w:space="0" w:color="auto"/>
        <w:bottom w:val="none" w:sz="0" w:space="0" w:color="auto"/>
        <w:right w:val="none" w:sz="0" w:space="0" w:color="auto"/>
      </w:divBdr>
    </w:div>
    <w:div w:id="1685204452">
      <w:bodyDiv w:val="1"/>
      <w:marLeft w:val="0"/>
      <w:marRight w:val="0"/>
      <w:marTop w:val="0"/>
      <w:marBottom w:val="0"/>
      <w:divBdr>
        <w:top w:val="none" w:sz="0" w:space="0" w:color="auto"/>
        <w:left w:val="none" w:sz="0" w:space="0" w:color="auto"/>
        <w:bottom w:val="none" w:sz="0" w:space="0" w:color="auto"/>
        <w:right w:val="none" w:sz="0" w:space="0" w:color="auto"/>
      </w:divBdr>
    </w:div>
    <w:div w:id="1695811264">
      <w:bodyDiv w:val="1"/>
      <w:marLeft w:val="0"/>
      <w:marRight w:val="0"/>
      <w:marTop w:val="0"/>
      <w:marBottom w:val="0"/>
      <w:divBdr>
        <w:top w:val="none" w:sz="0" w:space="0" w:color="auto"/>
        <w:left w:val="none" w:sz="0" w:space="0" w:color="auto"/>
        <w:bottom w:val="none" w:sz="0" w:space="0" w:color="auto"/>
        <w:right w:val="none" w:sz="0" w:space="0" w:color="auto"/>
      </w:divBdr>
    </w:div>
    <w:div w:id="1741363204">
      <w:bodyDiv w:val="1"/>
      <w:marLeft w:val="0"/>
      <w:marRight w:val="0"/>
      <w:marTop w:val="0"/>
      <w:marBottom w:val="0"/>
      <w:divBdr>
        <w:top w:val="none" w:sz="0" w:space="0" w:color="auto"/>
        <w:left w:val="none" w:sz="0" w:space="0" w:color="auto"/>
        <w:bottom w:val="none" w:sz="0" w:space="0" w:color="auto"/>
        <w:right w:val="none" w:sz="0" w:space="0" w:color="auto"/>
      </w:divBdr>
    </w:div>
    <w:div w:id="1771777598">
      <w:bodyDiv w:val="1"/>
      <w:marLeft w:val="0"/>
      <w:marRight w:val="0"/>
      <w:marTop w:val="0"/>
      <w:marBottom w:val="0"/>
      <w:divBdr>
        <w:top w:val="none" w:sz="0" w:space="0" w:color="auto"/>
        <w:left w:val="none" w:sz="0" w:space="0" w:color="auto"/>
        <w:bottom w:val="none" w:sz="0" w:space="0" w:color="auto"/>
        <w:right w:val="none" w:sz="0" w:space="0" w:color="auto"/>
      </w:divBdr>
    </w:div>
    <w:div w:id="1799565929">
      <w:bodyDiv w:val="1"/>
      <w:marLeft w:val="0"/>
      <w:marRight w:val="0"/>
      <w:marTop w:val="0"/>
      <w:marBottom w:val="0"/>
      <w:divBdr>
        <w:top w:val="none" w:sz="0" w:space="0" w:color="auto"/>
        <w:left w:val="none" w:sz="0" w:space="0" w:color="auto"/>
        <w:bottom w:val="none" w:sz="0" w:space="0" w:color="auto"/>
        <w:right w:val="none" w:sz="0" w:space="0" w:color="auto"/>
      </w:divBdr>
    </w:div>
    <w:div w:id="1877615993">
      <w:bodyDiv w:val="1"/>
      <w:marLeft w:val="0"/>
      <w:marRight w:val="0"/>
      <w:marTop w:val="0"/>
      <w:marBottom w:val="0"/>
      <w:divBdr>
        <w:top w:val="none" w:sz="0" w:space="0" w:color="auto"/>
        <w:left w:val="none" w:sz="0" w:space="0" w:color="auto"/>
        <w:bottom w:val="none" w:sz="0" w:space="0" w:color="auto"/>
        <w:right w:val="none" w:sz="0" w:space="0" w:color="auto"/>
      </w:divBdr>
    </w:div>
    <w:div w:id="1884052298">
      <w:bodyDiv w:val="1"/>
      <w:marLeft w:val="0"/>
      <w:marRight w:val="0"/>
      <w:marTop w:val="0"/>
      <w:marBottom w:val="0"/>
      <w:divBdr>
        <w:top w:val="none" w:sz="0" w:space="0" w:color="auto"/>
        <w:left w:val="none" w:sz="0" w:space="0" w:color="auto"/>
        <w:bottom w:val="none" w:sz="0" w:space="0" w:color="auto"/>
        <w:right w:val="none" w:sz="0" w:space="0" w:color="auto"/>
      </w:divBdr>
    </w:div>
    <w:div w:id="1950160273">
      <w:bodyDiv w:val="1"/>
      <w:marLeft w:val="0"/>
      <w:marRight w:val="0"/>
      <w:marTop w:val="0"/>
      <w:marBottom w:val="0"/>
      <w:divBdr>
        <w:top w:val="none" w:sz="0" w:space="0" w:color="auto"/>
        <w:left w:val="none" w:sz="0" w:space="0" w:color="auto"/>
        <w:bottom w:val="none" w:sz="0" w:space="0" w:color="auto"/>
        <w:right w:val="none" w:sz="0" w:space="0" w:color="auto"/>
      </w:divBdr>
    </w:div>
    <w:div w:id="2002660837">
      <w:bodyDiv w:val="1"/>
      <w:marLeft w:val="0"/>
      <w:marRight w:val="0"/>
      <w:marTop w:val="0"/>
      <w:marBottom w:val="0"/>
      <w:divBdr>
        <w:top w:val="none" w:sz="0" w:space="0" w:color="auto"/>
        <w:left w:val="none" w:sz="0" w:space="0" w:color="auto"/>
        <w:bottom w:val="none" w:sz="0" w:space="0" w:color="auto"/>
        <w:right w:val="none" w:sz="0" w:space="0" w:color="auto"/>
      </w:divBdr>
    </w:div>
    <w:div w:id="213879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inutehack.com/opinions/banks-new-approach-to-risk-managemen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84C1B-573C-4A34-9E3B-F4647F5C2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3727</Words>
  <Characters>21246</Characters>
  <Application>Microsoft Office Word</Application>
  <DocSecurity>0</DocSecurity>
  <Lines>177</Lines>
  <Paragraphs>49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International bank</vt:lpstr>
      <vt:lpstr>International bank</vt:lpstr>
    </vt:vector>
  </TitlesOfParts>
  <Company>Deloitte Touche Tohmatsu Services, Inc.</Company>
  <LinksUpToDate>false</LinksUpToDate>
  <CharactersWithSpaces>24924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bank</dc:title>
  <dc:creator>Kutai,  John</dc:creator>
  <cp:keywords>Produced By WeCo Office Accessibilty</cp:keywords>
  <dc:description>Document Graphics and HyperLinks</dc:description>
  <cp:lastModifiedBy>Ligia Mora</cp:lastModifiedBy>
  <cp:revision>2</cp:revision>
  <cp:lastPrinted>2020-03-02T13:04:00Z</cp:lastPrinted>
  <dcterms:created xsi:type="dcterms:W3CDTF">2020-08-25T14:09:00Z</dcterms:created>
  <dcterms:modified xsi:type="dcterms:W3CDTF">2020-08-25T14:09:00Z</dcterms:modified>
  <dc:language>English</dc:language>
</cp:coreProperties>
</file>