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6EF1C9" w14:textId="77777777" w:rsidR="007E3899" w:rsidRDefault="003E40BD" w:rsidP="007E3899">
      <w:pPr>
        <w:spacing w:line="360" w:lineRule="auto"/>
        <w:jc w:val="left"/>
        <w:outlineLvl w:val="0"/>
        <w:rPr>
          <w:rFonts w:asciiTheme="minorBidi" w:hAnsiTheme="minorBidi" w:cstheme="minorBidi"/>
          <w:b/>
          <w:bCs/>
          <w:color w:val="FF6600"/>
          <w:sz w:val="24"/>
          <w:szCs w:val="24"/>
        </w:rPr>
      </w:pPr>
      <w:r w:rsidRPr="007E3899">
        <w:rPr>
          <w:rFonts w:asciiTheme="minorBidi" w:hAnsiTheme="minorBidi" w:cstheme="minorBidi"/>
          <w:color w:val="4875C5"/>
          <w:sz w:val="40"/>
          <w:szCs w:val="40"/>
        </w:rPr>
        <w:t>International</w:t>
      </w:r>
      <w:r w:rsidR="0010540F" w:rsidRPr="007E3899">
        <w:rPr>
          <w:rFonts w:asciiTheme="minorBidi" w:hAnsiTheme="minorBidi" w:cstheme="minorBidi"/>
          <w:color w:val="4875C5"/>
          <w:sz w:val="40"/>
          <w:szCs w:val="40"/>
        </w:rPr>
        <w:t xml:space="preserve"> </w:t>
      </w:r>
      <w:r w:rsidRPr="007E3899">
        <w:rPr>
          <w:rFonts w:asciiTheme="minorBidi" w:hAnsiTheme="minorBidi" w:cstheme="minorBidi"/>
          <w:color w:val="4875C5"/>
          <w:sz w:val="40"/>
          <w:szCs w:val="40"/>
        </w:rPr>
        <w:t>bank</w:t>
      </w:r>
      <w:r w:rsidR="00A34F82" w:rsidRPr="007E3899">
        <w:rPr>
          <w:rFonts w:asciiTheme="minorBidi" w:hAnsiTheme="minorBidi" w:cstheme="minorBidi"/>
          <w:color w:val="4875C5"/>
          <w:sz w:val="40"/>
          <w:szCs w:val="40"/>
        </w:rPr>
        <w:t xml:space="preserve"> </w:t>
      </w:r>
      <w:r w:rsidR="00C30E69" w:rsidRPr="007E3899">
        <w:rPr>
          <w:rFonts w:asciiTheme="minorBidi" w:hAnsiTheme="minorBidi" w:cstheme="minorBidi"/>
          <w:color w:val="4875C5"/>
          <w:sz w:val="40"/>
          <w:szCs w:val="40"/>
        </w:rPr>
        <w:t xml:space="preserve">Risks report </w:t>
      </w:r>
      <w:r w:rsidR="00A34F82" w:rsidRPr="007E3899">
        <w:rPr>
          <w:rFonts w:asciiTheme="minorBidi" w:hAnsiTheme="minorBidi" w:cstheme="minorBidi"/>
          <w:color w:val="4875C5"/>
          <w:sz w:val="40"/>
          <w:szCs w:val="40"/>
        </w:rPr>
        <w:t>-</w:t>
      </w:r>
      <w:r w:rsidR="00C30E69" w:rsidRPr="007E3899">
        <w:rPr>
          <w:rFonts w:asciiTheme="minorBidi" w:hAnsiTheme="minorBidi" w:cstheme="minorBidi"/>
          <w:color w:val="4875C5"/>
          <w:sz w:val="40"/>
          <w:szCs w:val="40"/>
        </w:rPr>
        <w:t xml:space="preserve"> first quarter of 2019</w:t>
      </w:r>
    </w:p>
    <w:p w14:paraId="15F549C0" w14:textId="498A586C" w:rsidR="00FE2279" w:rsidRDefault="00DF55A5" w:rsidP="007E3899">
      <w:pPr>
        <w:spacing w:line="360" w:lineRule="auto"/>
        <w:ind w:left="-100"/>
        <w:jc w:val="left"/>
        <w:rPr>
          <w:rFonts w:asciiTheme="minorBidi" w:hAnsiTheme="minorBidi" w:cstheme="minorBidi"/>
          <w:sz w:val="24"/>
          <w:szCs w:val="24"/>
        </w:rPr>
      </w:pP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r>
        <w:rPr>
          <w:rFonts w:asciiTheme="minorBidi" w:hAnsiTheme="minorBidi" w:cstheme="minorBidi"/>
          <w:b/>
          <w:bCs/>
          <w:color w:val="FF6600"/>
          <w:sz w:val="24"/>
          <w:szCs w:val="24"/>
        </w:rPr>
        <w:br/>
      </w:r>
    </w:p>
    <w:p w14:paraId="2237A8ED" w14:textId="21131697" w:rsidR="00F14E09" w:rsidRDefault="004060EC" w:rsidP="004C7E97">
      <w:pPr>
        <w:spacing w:line="360" w:lineRule="auto"/>
        <w:ind w:left="-100"/>
        <w:jc w:val="left"/>
        <w:rPr>
          <w:rStyle w:val="Hyperlink"/>
          <w:rFonts w:asciiTheme="minorBidi" w:hAnsiTheme="minorBidi" w:cstheme="minorBidi"/>
          <w:color w:val="000000" w:themeColor="text1"/>
          <w:sz w:val="24"/>
          <w:szCs w:val="24"/>
          <w:u w:val="none"/>
        </w:rPr>
      </w:pPr>
      <w:r w:rsidRPr="000E6747">
        <w:rPr>
          <w:rFonts w:asciiTheme="minorBidi" w:hAnsiTheme="minorBidi" w:cstheme="minorBidi"/>
          <w:sz w:val="24"/>
          <w:szCs w:val="24"/>
        </w:rPr>
        <w:t>This report includes additional information to the Bank's financial statements and is compiled in conformity with directives of the Supervisor of Banks, which include disclosure requirements of Basel Pillar 3 and additional disclosure requirements of the Financial Stability Board (FSB).</w:t>
      </w:r>
      <w:r w:rsidR="00F14E09">
        <w:rPr>
          <w:rStyle w:val="Hyperlink"/>
          <w:rFonts w:asciiTheme="minorBidi" w:hAnsiTheme="minorBidi" w:cstheme="minorBidi"/>
          <w:color w:val="000000" w:themeColor="text1"/>
          <w:sz w:val="24"/>
          <w:szCs w:val="24"/>
          <w:u w:val="none"/>
        </w:rPr>
        <w:br w:type="page"/>
      </w:r>
    </w:p>
    <w:p w14:paraId="0B78084D" w14:textId="77777777" w:rsidR="00A35C73" w:rsidRPr="00632C4E" w:rsidRDefault="00A35C73" w:rsidP="00297C24">
      <w:pPr>
        <w:spacing w:line="360" w:lineRule="auto"/>
        <w:ind w:left="-100"/>
        <w:jc w:val="left"/>
        <w:rPr>
          <w:rStyle w:val="Hyperlink"/>
          <w:rFonts w:asciiTheme="minorBidi" w:hAnsiTheme="minorBidi" w:cstheme="minorBidi"/>
          <w:color w:val="000000" w:themeColor="text1"/>
          <w:sz w:val="24"/>
          <w:szCs w:val="24"/>
          <w:u w:val="none"/>
        </w:rPr>
        <w:sectPr w:rsidR="00A35C73" w:rsidRPr="00632C4E" w:rsidSect="009045B2">
          <w:headerReference w:type="even" r:id="rId8"/>
          <w:headerReference w:type="default" r:id="rId9"/>
          <w:footerReference w:type="even" r:id="rId10"/>
          <w:footerReference w:type="default" r:id="rId11"/>
          <w:footnotePr>
            <w:pos w:val="beneathText"/>
            <w:numRestart w:val="eachPage"/>
          </w:footnotePr>
          <w:type w:val="continuous"/>
          <w:pgSz w:w="11907" w:h="16840" w:code="9"/>
          <w:pgMar w:top="1440" w:right="1304" w:bottom="1871" w:left="1304" w:header="720" w:footer="1134" w:gutter="0"/>
          <w:cols w:space="708"/>
          <w:rtlGutter/>
          <w:docGrid w:linePitch="360"/>
        </w:sectPr>
      </w:pPr>
    </w:p>
    <w:p w14:paraId="60C097A4" w14:textId="77777777" w:rsidR="000A1F1B" w:rsidRPr="007E3899" w:rsidRDefault="000A1F1B" w:rsidP="007E3899">
      <w:pPr>
        <w:ind w:left="-100"/>
        <w:outlineLvl w:val="1"/>
        <w:rPr>
          <w:rFonts w:asciiTheme="minorBidi" w:hAnsiTheme="minorBidi" w:cstheme="minorBidi"/>
          <w:b/>
          <w:bCs/>
          <w:color w:val="BE5611"/>
          <w:sz w:val="28"/>
          <w:szCs w:val="28"/>
        </w:rPr>
      </w:pPr>
      <w:bookmarkStart w:id="0" w:name="_Toc477442760"/>
      <w:bookmarkStart w:id="1" w:name="_Toc433792669"/>
      <w:r w:rsidRPr="007E3899">
        <w:rPr>
          <w:rFonts w:asciiTheme="minorBidi" w:hAnsiTheme="minorBidi" w:cstheme="minorBidi"/>
          <w:b/>
          <w:bCs/>
          <w:color w:val="BE5611"/>
          <w:sz w:val="28"/>
          <w:szCs w:val="28"/>
        </w:rPr>
        <w:lastRenderedPageBreak/>
        <w:t>Risks Report</w:t>
      </w:r>
      <w:bookmarkEnd w:id="0"/>
    </w:p>
    <w:p w14:paraId="57866989" w14:textId="77777777" w:rsidR="000A1F1B" w:rsidRPr="00F6277F" w:rsidRDefault="000A1F1B" w:rsidP="00F6277F">
      <w:pPr>
        <w:spacing w:before="40"/>
        <w:rPr>
          <w:rFonts w:asciiTheme="minorBidi" w:hAnsiTheme="minorBidi" w:cstheme="minorBidi"/>
        </w:rPr>
      </w:pPr>
    </w:p>
    <w:p w14:paraId="5A8B8961" w14:textId="77777777" w:rsidR="000F7CC1" w:rsidRPr="000E6747" w:rsidRDefault="000A5FB5" w:rsidP="00C018A3">
      <w:pPr>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t xml:space="preserve">This risks report includes additional information to the condensed consolidated financial statements of Bank </w:t>
      </w:r>
      <w:r w:rsidR="00F50845" w:rsidRPr="000E6747">
        <w:rPr>
          <w:rFonts w:asciiTheme="minorBidi" w:hAnsiTheme="minorBidi" w:cstheme="minorBidi"/>
          <w:sz w:val="24"/>
          <w:szCs w:val="24"/>
        </w:rPr>
        <w:t>International</w:t>
      </w:r>
      <w:r w:rsidRPr="000E6747">
        <w:rPr>
          <w:rFonts w:asciiTheme="minorBidi" w:hAnsiTheme="minorBidi" w:cstheme="minorBidi"/>
          <w:sz w:val="24"/>
          <w:szCs w:val="24"/>
        </w:rPr>
        <w:t xml:space="preserve"> Ltd. and its subsidiaries as of March 31, 2019. </w:t>
      </w:r>
    </w:p>
    <w:p w14:paraId="36223B8F" w14:textId="77777777" w:rsidR="000A5FB5" w:rsidRPr="000E6747" w:rsidRDefault="000A5FB5" w:rsidP="00C018A3">
      <w:pPr>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t>The condensed financial statements and additional information to the condensed financial statements, including the Report of the Board of Directors and Management, this Risks  Report and other supervisory disclosures have been approved for publication by the Bank’s Board of Directors at its meeting held on May 20, 2019.</w:t>
      </w:r>
    </w:p>
    <w:p w14:paraId="5A53B750" w14:textId="77777777" w:rsidR="00C30E69" w:rsidRPr="000E6747" w:rsidRDefault="00C30E69" w:rsidP="00C018A3">
      <w:pPr>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t>The Risks Report and other supervisory disclosures are compiled in conformity with directives of the Supervisor of Banks, which include disclosure requirements of Basel Pillar 3, disclosure requirements published by the Financial Stability Board (FSB) and other disclosure requirements of the Financial Stability Board (FSB).</w:t>
      </w:r>
    </w:p>
    <w:p w14:paraId="58AC5426" w14:textId="77777777" w:rsidR="002119C0" w:rsidRPr="000E6747" w:rsidRDefault="002119C0" w:rsidP="00C018A3">
      <w:pPr>
        <w:spacing w:before="40" w:line="360" w:lineRule="auto"/>
        <w:jc w:val="left"/>
        <w:rPr>
          <w:rFonts w:asciiTheme="minorBidi" w:hAnsiTheme="minorBidi" w:cstheme="minorBidi"/>
          <w:sz w:val="24"/>
          <w:szCs w:val="24"/>
        </w:rPr>
      </w:pPr>
      <w:r w:rsidRPr="000E6747">
        <w:rPr>
          <w:rFonts w:asciiTheme="minorBidi" w:hAnsiTheme="minorBidi" w:cstheme="minorBidi"/>
          <w:sz w:val="24"/>
          <w:szCs w:val="24"/>
        </w:rPr>
        <w:t>Pursuant to the Public Reporting Regulations of the Supervisor of Banks, the quarterly format of the risks report is limited and focused on qualitative and quantitative disclosures whose quarterly analysis and presentation are material for readers of the report.</w:t>
      </w:r>
    </w:p>
    <w:p w14:paraId="662518B5" w14:textId="77777777" w:rsidR="002119C0" w:rsidRPr="000E6747" w:rsidRDefault="002119C0" w:rsidP="00C018A3">
      <w:pPr>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t>If needed, this report should be read in conjunction with the 2018 Risks Report.</w:t>
      </w:r>
    </w:p>
    <w:p w14:paraId="3831CEF7" w14:textId="77777777" w:rsidR="00C30E69" w:rsidRPr="000E6747" w:rsidRDefault="00C30E69" w:rsidP="00C018A3">
      <w:pPr>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t>The disclosure in this report is designated to allow users to evaluate significant information included with regard to implementation of the framework for capital measurement and adequacy and to implementation of provisions of "Basel III: A global regulatory framework for more resilient banks and banking systems".</w:t>
      </w:r>
    </w:p>
    <w:p w14:paraId="69DDB331" w14:textId="77777777" w:rsidR="00455B03" w:rsidRPr="000E6747" w:rsidRDefault="00455B03" w:rsidP="00C018A3">
      <w:pPr>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t xml:space="preserve">All of these reports are also available on the Bank’s website. </w:t>
      </w:r>
    </w:p>
    <w:p w14:paraId="79305A5B" w14:textId="77777777" w:rsidR="00455B03" w:rsidRPr="000E6747" w:rsidRDefault="00455B03" w:rsidP="00C018A3">
      <w:pPr>
        <w:widowControl w:val="0"/>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t>www.mizrahi-tefahot.co.il &gt;&gt; about the bank &gt;&gt; investor relations &gt;&gt; financial statements.</w:t>
      </w:r>
    </w:p>
    <w:p w14:paraId="4A4FE29E" w14:textId="77777777" w:rsidR="00807F0E" w:rsidRDefault="00807F0E">
      <w:pPr>
        <w:spacing w:after="160" w:line="259" w:lineRule="auto"/>
        <w:ind w:left="0" w:right="0"/>
        <w:jc w:val="left"/>
        <w:rPr>
          <w:rFonts w:asciiTheme="minorBidi" w:hAnsiTheme="minorBidi" w:cstheme="minorBidi"/>
          <w:sz w:val="24"/>
          <w:szCs w:val="24"/>
        </w:rPr>
      </w:pPr>
      <w:r>
        <w:rPr>
          <w:rFonts w:asciiTheme="minorBidi" w:hAnsiTheme="minorBidi" w:cstheme="minorBidi"/>
          <w:sz w:val="24"/>
          <w:szCs w:val="24"/>
        </w:rPr>
        <w:br w:type="page"/>
      </w:r>
    </w:p>
    <w:p w14:paraId="4F07430D" w14:textId="0C3AE42A" w:rsidR="00455B03" w:rsidRPr="000E6747" w:rsidRDefault="00455B03" w:rsidP="00C018A3">
      <w:pPr>
        <w:spacing w:before="40" w:after="120" w:line="360" w:lineRule="auto"/>
        <w:jc w:val="left"/>
        <w:rPr>
          <w:rFonts w:asciiTheme="minorBidi" w:hAnsiTheme="minorBidi" w:cstheme="minorBidi"/>
          <w:sz w:val="24"/>
          <w:szCs w:val="24"/>
        </w:rPr>
      </w:pPr>
      <w:r w:rsidRPr="000E6747">
        <w:rPr>
          <w:rFonts w:asciiTheme="minorBidi" w:hAnsiTheme="minorBidi" w:cstheme="minorBidi"/>
          <w:sz w:val="24"/>
          <w:szCs w:val="24"/>
        </w:rPr>
        <w:lastRenderedPageBreak/>
        <w:t>As directed by the Supervisor of Banks, additional information with regard to risks is provided in the Report of the Board of Directors and Management in the financial statements as of March 31, 2019, in the following chapters:</w:t>
      </w:r>
    </w:p>
    <w:p w14:paraId="64A43C70" w14:textId="1DA313B5" w:rsidR="00455B03" w:rsidRPr="00F14E09" w:rsidRDefault="00455B03" w:rsidP="00F14E09">
      <w:pPr>
        <w:pStyle w:val="ListParagraph"/>
        <w:numPr>
          <w:ilvl w:val="0"/>
          <w:numId w:val="26"/>
        </w:numPr>
        <w:tabs>
          <w:tab w:val="left" w:pos="144"/>
        </w:tabs>
        <w:spacing w:before="40" w:line="360" w:lineRule="auto"/>
        <w:jc w:val="left"/>
        <w:rPr>
          <w:rFonts w:asciiTheme="minorBidi" w:hAnsiTheme="minorBidi" w:cstheme="minorBidi"/>
          <w:sz w:val="24"/>
          <w:szCs w:val="24"/>
        </w:rPr>
      </w:pPr>
      <w:r w:rsidRPr="00F14E09">
        <w:rPr>
          <w:rFonts w:asciiTheme="minorBidi" w:hAnsiTheme="minorBidi" w:cstheme="minorBidi"/>
          <w:sz w:val="24"/>
          <w:szCs w:val="24"/>
        </w:rPr>
        <w:t>Chapter "Overview, targets and strategy" / major risks</w:t>
      </w:r>
    </w:p>
    <w:p w14:paraId="0BAF720D" w14:textId="4E95D127" w:rsidR="00455B03" w:rsidRPr="00F14E09" w:rsidRDefault="00455B03" w:rsidP="00F14E09">
      <w:pPr>
        <w:pStyle w:val="ListParagraph"/>
        <w:numPr>
          <w:ilvl w:val="0"/>
          <w:numId w:val="26"/>
        </w:numPr>
        <w:tabs>
          <w:tab w:val="left" w:pos="144"/>
        </w:tabs>
        <w:spacing w:before="40" w:line="360" w:lineRule="auto"/>
        <w:jc w:val="left"/>
        <w:rPr>
          <w:rFonts w:asciiTheme="minorBidi" w:hAnsiTheme="minorBidi" w:cstheme="minorBidi"/>
          <w:sz w:val="24"/>
          <w:szCs w:val="24"/>
        </w:rPr>
      </w:pPr>
      <w:r w:rsidRPr="00F14E09">
        <w:rPr>
          <w:rFonts w:asciiTheme="minorBidi" w:hAnsiTheme="minorBidi" w:cstheme="minorBidi"/>
          <w:sz w:val="24"/>
          <w:szCs w:val="24"/>
        </w:rPr>
        <w:t>Chapter "Explanation and analysis of results and business standing" / Key and emerging risks</w:t>
      </w:r>
    </w:p>
    <w:p w14:paraId="64B71CA2" w14:textId="0F90F63D" w:rsidR="00455B03" w:rsidRPr="00F14E09" w:rsidRDefault="00455B03" w:rsidP="00F14E09">
      <w:pPr>
        <w:pStyle w:val="ListParagraph"/>
        <w:numPr>
          <w:ilvl w:val="0"/>
          <w:numId w:val="26"/>
        </w:numPr>
        <w:tabs>
          <w:tab w:val="left" w:pos="144"/>
        </w:tabs>
        <w:spacing w:before="40" w:line="360" w:lineRule="auto"/>
        <w:jc w:val="left"/>
        <w:rPr>
          <w:rFonts w:asciiTheme="minorBidi" w:hAnsiTheme="minorBidi" w:cstheme="minorBidi"/>
          <w:sz w:val="24"/>
          <w:szCs w:val="24"/>
        </w:rPr>
      </w:pPr>
      <w:r w:rsidRPr="00F14E09">
        <w:rPr>
          <w:rFonts w:asciiTheme="minorBidi" w:hAnsiTheme="minorBidi" w:cstheme="minorBidi"/>
          <w:sz w:val="24"/>
          <w:szCs w:val="24"/>
        </w:rPr>
        <w:t>Chapter "Risks Overview"</w:t>
      </w:r>
    </w:p>
    <w:p w14:paraId="33ED6642" w14:textId="77777777" w:rsidR="00FC7886" w:rsidRPr="000E6747" w:rsidRDefault="00FC7886" w:rsidP="004C7E97">
      <w:pPr>
        <w:pStyle w:val="afb"/>
        <w:spacing w:before="240" w:line="360" w:lineRule="auto"/>
        <w:ind w:left="0" w:right="0"/>
        <w:rPr>
          <w:rFonts w:asciiTheme="minorBidi" w:eastAsia="Times New Roman" w:hAnsiTheme="minorBidi"/>
          <w:b w:val="0"/>
          <w:bCs w:val="0"/>
          <w:noProof/>
          <w:color w:val="000000"/>
          <w:sz w:val="24"/>
          <w:szCs w:val="24"/>
        </w:rPr>
      </w:pPr>
      <w:r w:rsidRPr="000E6747">
        <w:rPr>
          <w:rFonts w:asciiTheme="minorBidi" w:hAnsiTheme="minorBidi"/>
          <w:b w:val="0"/>
          <w:bCs w:val="0"/>
          <w:color w:val="000000"/>
          <w:sz w:val="24"/>
          <w:szCs w:val="24"/>
        </w:rPr>
        <w:t>In conformity with the Equal Rights to Handicapped Persons Regulations (Service Accessibility Adaptations), 2013, the website also provides accessible reports.</w:t>
      </w:r>
    </w:p>
    <w:p w14:paraId="142E1D60" w14:textId="3D68A68A" w:rsidR="00F3080E" w:rsidRPr="007E3899" w:rsidRDefault="004C7E97" w:rsidP="008230B7">
      <w:pPr>
        <w:tabs>
          <w:tab w:val="left" w:pos="4880"/>
          <w:tab w:val="left" w:pos="7940"/>
        </w:tabs>
        <w:spacing w:before="40" w:line="360" w:lineRule="auto"/>
        <w:ind w:right="520"/>
        <w:rPr>
          <w:rFonts w:asciiTheme="minorBidi" w:hAnsiTheme="minorBidi" w:cstheme="minorBidi"/>
          <w:b/>
          <w:bCs/>
          <w:color w:val="BE5611"/>
          <w:sz w:val="28"/>
          <w:szCs w:val="28"/>
        </w:rPr>
      </w:pPr>
      <w:r>
        <w:rPr>
          <w:rFonts w:asciiTheme="minorBidi" w:hAnsiTheme="minorBidi" w:cstheme="minorBidi"/>
          <w:sz w:val="24"/>
          <w:szCs w:val="24"/>
        </w:rPr>
        <w:br/>
      </w:r>
      <w:r w:rsidR="001D1E95" w:rsidRPr="000E6747">
        <w:rPr>
          <w:rFonts w:asciiTheme="minorBidi" w:hAnsiTheme="minorBidi" w:cstheme="minorBidi"/>
          <w:sz w:val="24"/>
          <w:szCs w:val="24"/>
        </w:rPr>
        <w:tab/>
      </w:r>
      <w:r w:rsidR="001D1E95" w:rsidRPr="000E6747">
        <w:rPr>
          <w:rFonts w:asciiTheme="minorBidi" w:hAnsiTheme="minorBidi" w:cstheme="minorBidi"/>
          <w:sz w:val="24"/>
          <w:szCs w:val="24"/>
        </w:rPr>
        <w:tab/>
      </w:r>
      <w:r w:rsidR="001D1E95" w:rsidRPr="000E6747">
        <w:rPr>
          <w:rFonts w:asciiTheme="minorBidi" w:hAnsiTheme="minorBidi" w:cstheme="minorBidi"/>
          <w:sz w:val="24"/>
          <w:szCs w:val="24"/>
        </w:rPr>
        <w:tab/>
      </w:r>
      <w:r w:rsidR="001D1E95" w:rsidRPr="000E6747">
        <w:rPr>
          <w:rFonts w:asciiTheme="minorBidi" w:hAnsiTheme="minorBidi" w:cstheme="minorBidi"/>
          <w:sz w:val="24"/>
          <w:szCs w:val="24"/>
        </w:rPr>
        <w:tab/>
      </w:r>
      <w:r w:rsidR="001D1E95" w:rsidRPr="000E6747">
        <w:rPr>
          <w:rFonts w:asciiTheme="minorBidi" w:hAnsiTheme="minorBidi" w:cstheme="minorBidi"/>
          <w:sz w:val="24"/>
          <w:szCs w:val="24"/>
        </w:rPr>
        <w:tab/>
        <w:t xml:space="preserve">Doron </w:t>
      </w:r>
      <w:r w:rsidR="00062AF0" w:rsidRPr="000E6747">
        <w:rPr>
          <w:rFonts w:asciiTheme="minorBidi" w:hAnsiTheme="minorBidi" w:cstheme="minorBidi"/>
          <w:sz w:val="24"/>
          <w:szCs w:val="24"/>
        </w:rPr>
        <w:t>Melzers</w:t>
      </w:r>
      <w:r w:rsidR="00C018A3">
        <w:rPr>
          <w:rFonts w:asciiTheme="minorBidi" w:hAnsiTheme="minorBidi" w:cstheme="minorBidi"/>
          <w:sz w:val="24"/>
          <w:szCs w:val="24"/>
        </w:rPr>
        <w:t xml:space="preserve">, </w:t>
      </w:r>
      <w:r w:rsidR="001D1E95" w:rsidRPr="000E6747">
        <w:rPr>
          <w:rFonts w:asciiTheme="minorBidi" w:hAnsiTheme="minorBidi" w:cstheme="minorBidi"/>
          <w:sz w:val="24"/>
          <w:szCs w:val="24"/>
        </w:rPr>
        <w:t>Chief risk officer</w:t>
      </w:r>
      <w:bookmarkEnd w:id="1"/>
      <w:r w:rsidR="00C559AE" w:rsidRPr="000E6747">
        <w:rPr>
          <w:rFonts w:asciiTheme="minorBidi" w:hAnsiTheme="minorBidi" w:cstheme="minorBidi"/>
          <w:sz w:val="24"/>
          <w:szCs w:val="24"/>
        </w:rPr>
        <w:br w:type="page"/>
      </w:r>
      <w:bookmarkStart w:id="2" w:name="_Toc9187301"/>
    </w:p>
    <w:p w14:paraId="1CD0A6DE" w14:textId="2351CCE4" w:rsidR="00FC7886" w:rsidRPr="007E3899" w:rsidRDefault="00FC7886" w:rsidP="007E3899">
      <w:pPr>
        <w:tabs>
          <w:tab w:val="left" w:pos="4880"/>
          <w:tab w:val="left" w:pos="7940"/>
        </w:tabs>
        <w:spacing w:before="40" w:line="360" w:lineRule="auto"/>
        <w:ind w:right="520"/>
        <w:outlineLvl w:val="1"/>
        <w:rPr>
          <w:rFonts w:asciiTheme="minorBidi" w:hAnsiTheme="minorBidi" w:cstheme="minorBidi"/>
          <w:b/>
          <w:bCs/>
          <w:color w:val="BE5611"/>
          <w:sz w:val="28"/>
          <w:szCs w:val="28"/>
        </w:rPr>
      </w:pPr>
      <w:r w:rsidRPr="007E3899">
        <w:rPr>
          <w:rFonts w:asciiTheme="minorBidi" w:hAnsiTheme="minorBidi" w:cstheme="minorBidi"/>
          <w:b/>
          <w:bCs/>
          <w:color w:val="BE5611"/>
          <w:sz w:val="28"/>
          <w:szCs w:val="28"/>
        </w:rPr>
        <w:lastRenderedPageBreak/>
        <w:t>Bank approach to risk management (OVA)</w:t>
      </w:r>
      <w:bookmarkEnd w:id="2"/>
    </w:p>
    <w:p w14:paraId="55D1DECF" w14:textId="77777777" w:rsidR="000F7CC1"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The Bank complies with directives concerning risk management and control, as stipulated by the Supervisor of Banks, and in particular with Proper Conduct of Banking Business Directive310 "Risks Management", which is based on the Basel Committee recommendations and which specifies the principles for risks management and control in the Israeli banking system and stipulates the standards required of the banks for creating their risks management and control framework in line with regulatory requirements, the Bank's risk profile and its business targets. </w:t>
      </w:r>
    </w:p>
    <w:p w14:paraId="6F5D8662" w14:textId="77777777" w:rsidR="00FC7886"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All policy documents for risk management and control at the Bank are based on these basic principles.</w:t>
      </w:r>
    </w:p>
    <w:p w14:paraId="71F95FF9" w14:textId="77777777" w:rsidR="00FC7886"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The risks management and control framework at the Bank, as recommended by the Basel Committee, specifies three pillars:</w:t>
      </w:r>
    </w:p>
    <w:p w14:paraId="06E3D5C3" w14:textId="77777777" w:rsidR="000F7CC1" w:rsidRPr="00915B38" w:rsidRDefault="00FC7886" w:rsidP="003955A9">
      <w:pPr>
        <w:tabs>
          <w:tab w:val="num" w:pos="720"/>
        </w:tabs>
        <w:spacing w:before="40" w:after="120" w:line="360" w:lineRule="auto"/>
        <w:jc w:val="left"/>
        <w:rPr>
          <w:rFonts w:asciiTheme="minorBidi" w:hAnsiTheme="minorBidi" w:cstheme="minorBidi"/>
          <w:spacing w:val="-2"/>
          <w:sz w:val="24"/>
          <w:szCs w:val="24"/>
        </w:rPr>
      </w:pPr>
      <w:r w:rsidRPr="00915B38">
        <w:rPr>
          <w:rFonts w:asciiTheme="minorBidi" w:hAnsiTheme="minorBidi" w:cstheme="minorBidi"/>
          <w:spacing w:val="-2"/>
          <w:sz w:val="24"/>
          <w:szCs w:val="24"/>
        </w:rPr>
        <w:t>Pillar 1 – minimum capital – minimum capital</w:t>
      </w:r>
      <w:r w:rsidR="001848FF" w:rsidRPr="00915B38">
        <w:rPr>
          <w:rFonts w:asciiTheme="minorBidi" w:hAnsiTheme="minorBidi" w:cstheme="minorBidi"/>
          <w:spacing w:val="-2"/>
          <w:sz w:val="24"/>
          <w:szCs w:val="24"/>
        </w:rPr>
        <w:fldChar w:fldCharType="begin"/>
      </w:r>
      <w:r w:rsidR="001848FF" w:rsidRPr="00915B38">
        <w:rPr>
          <w:rFonts w:asciiTheme="minorBidi" w:hAnsiTheme="minorBidi" w:cstheme="minorBidi"/>
          <w:spacing w:val="-2"/>
          <w:sz w:val="24"/>
          <w:szCs w:val="24"/>
        </w:rPr>
        <w:instrText xml:space="preserve"> XE "Capital" </w:instrText>
      </w:r>
      <w:r w:rsidR="001848FF" w:rsidRPr="00915B38">
        <w:rPr>
          <w:rFonts w:asciiTheme="minorBidi" w:hAnsiTheme="minorBidi" w:cstheme="minorBidi"/>
          <w:spacing w:val="-2"/>
          <w:sz w:val="24"/>
          <w:szCs w:val="24"/>
        </w:rPr>
        <w:fldChar w:fldCharType="end"/>
      </w:r>
      <w:r w:rsidRPr="00915B38">
        <w:rPr>
          <w:rFonts w:asciiTheme="minorBidi" w:hAnsiTheme="minorBidi" w:cstheme="minorBidi"/>
          <w:spacing w:val="-2"/>
          <w:sz w:val="24"/>
          <w:szCs w:val="24"/>
        </w:rPr>
        <w:t xml:space="preserve"> allocation requirements with respect to credit risk</w:t>
      </w:r>
      <w:r w:rsidRPr="00915B38">
        <w:rPr>
          <w:rFonts w:asciiTheme="minorBidi" w:hAnsiTheme="minorBidi" w:cstheme="minorBidi"/>
          <w:spacing w:val="-2"/>
          <w:sz w:val="24"/>
          <w:szCs w:val="24"/>
        </w:rPr>
        <w:fldChar w:fldCharType="begin"/>
      </w:r>
      <w:r w:rsidRPr="00915B38">
        <w:rPr>
          <w:rFonts w:asciiTheme="minorBidi" w:hAnsiTheme="minorBidi" w:cstheme="minorBidi"/>
          <w:spacing w:val="-2"/>
          <w:sz w:val="24"/>
          <w:szCs w:val="24"/>
        </w:rPr>
        <w:instrText xml:space="preserve"> XE "Credit risk" </w:instrText>
      </w:r>
      <w:r w:rsidRPr="00915B38">
        <w:rPr>
          <w:rFonts w:asciiTheme="minorBidi" w:hAnsiTheme="minorBidi" w:cstheme="minorBidi"/>
          <w:spacing w:val="-2"/>
          <w:sz w:val="24"/>
          <w:szCs w:val="24"/>
        </w:rPr>
        <w:fldChar w:fldCharType="end"/>
      </w:r>
      <w:r w:rsidRPr="00915B38">
        <w:rPr>
          <w:rFonts w:asciiTheme="minorBidi" w:hAnsiTheme="minorBidi" w:cstheme="minorBidi"/>
          <w:spacing w:val="-2"/>
          <w:sz w:val="24"/>
          <w:szCs w:val="24"/>
        </w:rPr>
        <w:t>, market risk</w:t>
      </w:r>
      <w:r w:rsidRPr="00915B38">
        <w:rPr>
          <w:rFonts w:asciiTheme="minorBidi" w:hAnsiTheme="minorBidi" w:cstheme="minorBidi"/>
          <w:spacing w:val="-2"/>
          <w:sz w:val="24"/>
          <w:szCs w:val="24"/>
        </w:rPr>
        <w:fldChar w:fldCharType="begin"/>
      </w:r>
      <w:r w:rsidRPr="00915B38">
        <w:rPr>
          <w:rFonts w:asciiTheme="minorBidi" w:hAnsiTheme="minorBidi" w:cstheme="minorBidi"/>
          <w:spacing w:val="-2"/>
          <w:sz w:val="24"/>
          <w:szCs w:val="24"/>
        </w:rPr>
        <w:instrText xml:space="preserve"> XE "Market risk" </w:instrText>
      </w:r>
      <w:r w:rsidRPr="00915B38">
        <w:rPr>
          <w:rFonts w:asciiTheme="minorBidi" w:hAnsiTheme="minorBidi" w:cstheme="minorBidi"/>
          <w:spacing w:val="-2"/>
          <w:sz w:val="24"/>
          <w:szCs w:val="24"/>
        </w:rPr>
        <w:fldChar w:fldCharType="end"/>
      </w:r>
      <w:r w:rsidRPr="00915B38">
        <w:rPr>
          <w:rFonts w:asciiTheme="minorBidi" w:hAnsiTheme="minorBidi" w:cstheme="minorBidi"/>
          <w:spacing w:val="-2"/>
          <w:sz w:val="24"/>
          <w:szCs w:val="24"/>
        </w:rPr>
        <w:t xml:space="preserve"> and operational risk</w:t>
      </w:r>
      <w:r w:rsidRPr="00915B38">
        <w:rPr>
          <w:rFonts w:asciiTheme="minorBidi" w:hAnsiTheme="minorBidi" w:cstheme="minorBidi"/>
          <w:spacing w:val="-2"/>
          <w:sz w:val="24"/>
          <w:szCs w:val="24"/>
        </w:rPr>
        <w:fldChar w:fldCharType="begin"/>
      </w:r>
      <w:r w:rsidRPr="00915B38">
        <w:rPr>
          <w:rFonts w:asciiTheme="minorBidi" w:hAnsiTheme="minorBidi" w:cstheme="minorBidi"/>
          <w:spacing w:val="-2"/>
          <w:sz w:val="24"/>
          <w:szCs w:val="24"/>
        </w:rPr>
        <w:instrText xml:space="preserve"> XE "Operational risk" </w:instrText>
      </w:r>
      <w:r w:rsidRPr="00915B38">
        <w:rPr>
          <w:rFonts w:asciiTheme="minorBidi" w:hAnsiTheme="minorBidi" w:cstheme="minorBidi"/>
          <w:spacing w:val="-2"/>
          <w:sz w:val="24"/>
          <w:szCs w:val="24"/>
        </w:rPr>
        <w:fldChar w:fldCharType="end"/>
      </w:r>
      <w:r w:rsidRPr="00915B38">
        <w:rPr>
          <w:rFonts w:asciiTheme="minorBidi" w:hAnsiTheme="minorBidi" w:cstheme="minorBidi"/>
          <w:spacing w:val="-2"/>
          <w:sz w:val="24"/>
          <w:szCs w:val="24"/>
        </w:rPr>
        <w:t xml:space="preserve"> calculated by standard models. </w:t>
      </w:r>
    </w:p>
    <w:p w14:paraId="6D8C4885" w14:textId="77777777" w:rsidR="00FC7886" w:rsidRPr="00915B38" w:rsidRDefault="00FC7886" w:rsidP="003955A9">
      <w:pPr>
        <w:tabs>
          <w:tab w:val="num" w:pos="720"/>
        </w:tabs>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Pillar 2 – Supervision and control process over capital adequacy, the Internal Capital Adequacy Assessment Process (ICAAP) conducted by the Bank, as well as the Supervisory Review and Evaluation Process (SREP).</w:t>
      </w:r>
    </w:p>
    <w:p w14:paraId="39C6F660" w14:textId="77777777" w:rsidR="00FC7886"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Pillar 3 – "market discipline" – reporting and disclosure to the regulating authority and to the public.</w:t>
      </w:r>
    </w:p>
    <w:p w14:paraId="20E6959F" w14:textId="77777777" w:rsidR="000F7CC1"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Efficient, comprehensive risks management is a key foundation for ensuring the Bank's stability over time. </w:t>
      </w:r>
    </w:p>
    <w:p w14:paraId="4906B8F2" w14:textId="77777777" w:rsidR="000F7CC1"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Risks management and control processes at the Bank and at the Group are designed to identify, manage, quantify and mitigate all risks associated with Bank operations and to support achievement of the Bank's business objectives. </w:t>
      </w:r>
    </w:p>
    <w:p w14:paraId="21F200FF" w14:textId="77777777" w:rsidR="000F7CC1" w:rsidRPr="0098330E" w:rsidRDefault="00FC7886" w:rsidP="003955A9">
      <w:pPr>
        <w:spacing w:before="40" w:after="120" w:line="360" w:lineRule="auto"/>
        <w:jc w:val="left"/>
        <w:rPr>
          <w:rFonts w:asciiTheme="minorBidi" w:hAnsiTheme="minorBidi" w:cstheme="minorBidi"/>
          <w:color w:val="auto"/>
          <w:sz w:val="24"/>
          <w:szCs w:val="24"/>
        </w:rPr>
      </w:pPr>
      <w:r w:rsidRPr="0098330E">
        <w:rPr>
          <w:rFonts w:asciiTheme="minorBidi" w:hAnsiTheme="minorBidi" w:cstheme="minorBidi"/>
          <w:color w:val="auto"/>
          <w:sz w:val="24"/>
          <w:szCs w:val="24"/>
        </w:rPr>
        <w:t xml:space="preserve">The Bank is exposed to a succession of risks which may potentially impact its financial results and its image. </w:t>
      </w:r>
    </w:p>
    <w:p w14:paraId="5C1CEB63" w14:textId="77777777" w:rsidR="000F7CC1"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lastRenderedPageBreak/>
        <w:t>The Bank exposed to financial risks, such as: credit risks and market and interest risks, as well as non-financial risks, such as: compliance risks, operating, legal, reputation risk</w:t>
      </w:r>
      <w:r w:rsidRPr="00915B38">
        <w:rPr>
          <w:rFonts w:asciiTheme="minorBidi" w:hAnsiTheme="minorBidi" w:cstheme="minorBidi"/>
          <w:sz w:val="24"/>
          <w:szCs w:val="24"/>
        </w:rPr>
        <w:fldChar w:fldCharType="begin"/>
      </w:r>
      <w:r w:rsidRPr="00915B38">
        <w:rPr>
          <w:rFonts w:asciiTheme="minorBidi" w:hAnsiTheme="minorBidi" w:cstheme="minorBidi"/>
          <w:sz w:val="24"/>
          <w:szCs w:val="24"/>
        </w:rPr>
        <w:instrText xml:space="preserve"> XE "Reputation risk" </w:instrText>
      </w:r>
      <w:r w:rsidRPr="00915B38">
        <w:rPr>
          <w:rFonts w:asciiTheme="minorBidi" w:hAnsiTheme="minorBidi" w:cstheme="minorBidi"/>
          <w:sz w:val="24"/>
          <w:szCs w:val="24"/>
        </w:rPr>
        <w:fldChar w:fldCharType="end"/>
      </w:r>
      <w:r w:rsidRPr="00915B38">
        <w:rPr>
          <w:rFonts w:asciiTheme="minorBidi" w:hAnsiTheme="minorBidi" w:cstheme="minorBidi"/>
          <w:sz w:val="24"/>
          <w:szCs w:val="24"/>
        </w:rPr>
        <w:t xml:space="preserve"> and other risks. </w:t>
      </w:r>
    </w:p>
    <w:p w14:paraId="5C7F0A02" w14:textId="77777777" w:rsidR="00FC7886"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Risks management at the Group is conducted from a comprehensive viewpoint of Bank operations in Israel and at overseas affiliates and in conformity with regulatory requirements, so as to support achievement of the Group's strategic objectives, while assuming risks in an informed manner and maintaining a risk level in line with the overall risk appetite specified by the Bank’s Board of Directors.</w:t>
      </w:r>
    </w:p>
    <w:p w14:paraId="10AFCECA" w14:textId="77777777" w:rsidR="000F7CC1"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The risk appetite defines, at the highest level, the overall risk level which the Bank wishes to and can assume. </w:t>
      </w:r>
    </w:p>
    <w:p w14:paraId="439CC99D" w14:textId="77777777" w:rsidR="000F7CC1" w:rsidRPr="00915B38" w:rsidRDefault="000D7EF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The risk appetite defines where the Bank would like to be in terms of reward (proceeds/benefit) vs. risk (cost from a forward-looking viewpoint). </w:t>
      </w:r>
    </w:p>
    <w:p w14:paraId="70EF68A5" w14:textId="77777777" w:rsidR="000F7CC1" w:rsidRPr="00915B38" w:rsidRDefault="00FC788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Risk appetite is defined in qualitative and quantitative terms and is based on the risk strategy and on basic principles of the Bank's business and strategic plan and on the required liquidity and capital for achieving the strategic objectives. </w:t>
      </w:r>
    </w:p>
    <w:p w14:paraId="2B8E6F43" w14:textId="77777777" w:rsidR="000F7CC1" w:rsidRPr="00915B38" w:rsidRDefault="000D7EF6"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Risk tolerance is a specific determination of risk levels for all risks to which the Bank is exposed. </w:t>
      </w:r>
    </w:p>
    <w:p w14:paraId="124F37C8" w14:textId="77777777" w:rsidR="000F7CC1" w:rsidRPr="00915B38" w:rsidRDefault="00FC7886" w:rsidP="003955A9">
      <w:pPr>
        <w:spacing w:before="40" w:after="120" w:line="360" w:lineRule="auto"/>
        <w:jc w:val="left"/>
        <w:rPr>
          <w:rFonts w:asciiTheme="minorBidi" w:hAnsiTheme="minorBidi" w:cstheme="minorBidi"/>
          <w:spacing w:val="-4"/>
          <w:sz w:val="24"/>
          <w:szCs w:val="24"/>
        </w:rPr>
      </w:pPr>
      <w:r w:rsidRPr="00915B38">
        <w:rPr>
          <w:rFonts w:asciiTheme="minorBidi" w:hAnsiTheme="minorBidi" w:cstheme="minorBidi"/>
          <w:spacing w:val="-4"/>
          <w:sz w:val="24"/>
          <w:szCs w:val="24"/>
        </w:rPr>
        <w:t xml:space="preserve">Risk levels are determined by a range of qualitative and quantitative benchmarks, in support of achieving the business goals, while keeping the Bank within the overall limits of the specified risk appetite and subject to strict regulatory restrictions. </w:t>
      </w:r>
    </w:p>
    <w:p w14:paraId="041BB05A" w14:textId="77777777" w:rsidR="00FC7886" w:rsidRPr="0098330E" w:rsidRDefault="00FC7886" w:rsidP="003955A9">
      <w:pPr>
        <w:spacing w:before="40" w:after="120" w:line="360" w:lineRule="auto"/>
        <w:jc w:val="left"/>
        <w:rPr>
          <w:rFonts w:asciiTheme="minorBidi" w:hAnsiTheme="minorBidi" w:cstheme="minorBidi"/>
          <w:color w:val="auto"/>
          <w:sz w:val="24"/>
          <w:szCs w:val="24"/>
        </w:rPr>
      </w:pPr>
      <w:r w:rsidRPr="0098330E">
        <w:rPr>
          <w:rFonts w:asciiTheme="minorBidi" w:hAnsiTheme="minorBidi" w:cstheme="minorBidi"/>
          <w:color w:val="auto"/>
          <w:sz w:val="24"/>
          <w:szCs w:val="24"/>
        </w:rPr>
        <w:t>These risk restrictions, on aggregate, reflect the overall risk level which the Bank is willing to assume.</w:t>
      </w:r>
    </w:p>
    <w:p w14:paraId="3549251E" w14:textId="58AF83E8" w:rsidR="00062AF0" w:rsidRPr="00915B38" w:rsidRDefault="00062AF0" w:rsidP="003955A9">
      <w:pPr>
        <w:spacing w:before="40" w:after="120" w:line="360" w:lineRule="auto"/>
        <w:jc w:val="left"/>
        <w:rPr>
          <w:rFonts w:asciiTheme="minorBidi" w:hAnsiTheme="minorBidi" w:cstheme="minorBidi"/>
          <w:sz w:val="24"/>
          <w:szCs w:val="24"/>
        </w:rPr>
      </w:pPr>
      <w:r w:rsidRPr="00915B38">
        <w:rPr>
          <w:rFonts w:asciiTheme="minorBidi" w:hAnsiTheme="minorBidi" w:cstheme="minorBidi"/>
          <w:sz w:val="24"/>
          <w:szCs w:val="24"/>
        </w:rPr>
        <w:t xml:space="preserve">For further information </w:t>
      </w:r>
      <w:hyperlink r:id="rId12" w:tooltip="of risks in banking sector" w:history="1">
        <w:r w:rsidR="007E3899">
          <w:rPr>
            <w:rStyle w:val="Hyperlink"/>
            <w:rFonts w:asciiTheme="minorBidi" w:hAnsiTheme="minorBidi" w:cstheme="minorBidi"/>
            <w:sz w:val="24"/>
            <w:szCs w:val="24"/>
          </w:rPr>
          <w:t>Risk Report Information Link</w:t>
        </w:r>
      </w:hyperlink>
      <w:r w:rsidRPr="00915B38">
        <w:rPr>
          <w:rFonts w:asciiTheme="minorBidi" w:hAnsiTheme="minorBidi" w:cstheme="minorBidi"/>
          <w:sz w:val="24"/>
          <w:szCs w:val="24"/>
        </w:rPr>
        <w:t>.</w:t>
      </w:r>
    </w:p>
    <w:p w14:paraId="5221C11F" w14:textId="77777777" w:rsidR="0084616A" w:rsidRPr="00915B38" w:rsidRDefault="0084616A" w:rsidP="00915B38">
      <w:pPr>
        <w:spacing w:after="160"/>
        <w:ind w:left="0" w:right="0"/>
        <w:jc w:val="left"/>
        <w:rPr>
          <w:rFonts w:asciiTheme="minorBidi" w:hAnsiTheme="minorBidi" w:cstheme="minorBidi"/>
          <w:b/>
          <w:bCs/>
          <w:noProof/>
          <w:color w:val="FF6600"/>
          <w:sz w:val="24"/>
          <w:szCs w:val="24"/>
        </w:rPr>
      </w:pPr>
      <w:r w:rsidRPr="00915B38">
        <w:rPr>
          <w:rFonts w:asciiTheme="minorBidi" w:hAnsiTheme="minorBidi" w:cstheme="minorBidi"/>
          <w:sz w:val="24"/>
          <w:szCs w:val="24"/>
        </w:rPr>
        <w:br w:type="page"/>
      </w:r>
    </w:p>
    <w:p w14:paraId="73FA9834" w14:textId="77777777" w:rsidR="00FC7886" w:rsidRPr="007E3899" w:rsidRDefault="00FC7886" w:rsidP="007E3899">
      <w:pPr>
        <w:pStyle w:val="12-"/>
        <w:spacing w:before="120" w:after="200" w:line="240" w:lineRule="auto"/>
        <w:ind w:left="-100"/>
        <w:outlineLvl w:val="1"/>
        <w:rPr>
          <w:noProof w:val="0"/>
          <w:color w:val="BE5611"/>
          <w:sz w:val="28"/>
          <w:szCs w:val="28"/>
          <w:lang w:eastAsia="en-US"/>
        </w:rPr>
      </w:pPr>
      <w:bookmarkStart w:id="3" w:name="_Toc9187303"/>
      <w:r w:rsidRPr="007E3899">
        <w:rPr>
          <w:noProof w:val="0"/>
          <w:color w:val="BE5611"/>
          <w:sz w:val="28"/>
          <w:szCs w:val="28"/>
          <w:lang w:eastAsia="en-US"/>
        </w:rPr>
        <w:lastRenderedPageBreak/>
        <w:t>General mapping of risk factors and their impact</w:t>
      </w:r>
      <w:bookmarkEnd w:id="3"/>
    </w:p>
    <w:p w14:paraId="6FADE9D7" w14:textId="77777777" w:rsidR="00FC7886" w:rsidRPr="00EF4C58" w:rsidRDefault="00FC7886" w:rsidP="003955A9">
      <w:pPr>
        <w:spacing w:before="120" w:after="60" w:line="360" w:lineRule="auto"/>
        <w:jc w:val="left"/>
        <w:rPr>
          <w:rFonts w:asciiTheme="minorBidi" w:hAnsiTheme="minorBidi" w:cstheme="minorBidi"/>
          <w:sz w:val="24"/>
          <w:szCs w:val="24"/>
        </w:rPr>
      </w:pPr>
      <w:bookmarkStart w:id="4" w:name="מיפוי_גורמי_הסיכון"/>
      <w:r w:rsidRPr="00EF4C58">
        <w:rPr>
          <w:rFonts w:asciiTheme="minorBidi" w:hAnsiTheme="minorBidi" w:cstheme="minorBidi"/>
          <w:sz w:val="24"/>
          <w:szCs w:val="24"/>
        </w:rPr>
        <w:t>Below is a mapping of risk factors, their potential impact on the Bank Group and executives appointed Risk Owners for each risk factor</w:t>
      </w:r>
      <w:bookmarkEnd w:id="4"/>
      <w:r w:rsidRPr="00EF4C58">
        <w:rPr>
          <w:rFonts w:asciiTheme="minorBidi" w:hAnsiTheme="minorBidi" w:cstheme="minorBidi"/>
          <w:sz w:val="24"/>
          <w:szCs w:val="24"/>
        </w:rPr>
        <w:t xml:space="preserve">: </w:t>
      </w:r>
    </w:p>
    <w:tbl>
      <w:tblPr>
        <w:tblW w:w="9526" w:type="dxa"/>
        <w:tblInd w:w="-108" w:type="dxa"/>
        <w:tblBorders>
          <w:top w:val="single" w:sz="2" w:space="0" w:color="262626" w:themeColor="text1" w:themeTint="D9"/>
          <w:left w:val="single" w:sz="2" w:space="0" w:color="262626" w:themeColor="text1" w:themeTint="D9"/>
          <w:bottom w:val="single" w:sz="2" w:space="0" w:color="262626" w:themeColor="text1" w:themeTint="D9"/>
          <w:right w:val="single" w:sz="2" w:space="0" w:color="262626" w:themeColor="text1" w:themeTint="D9"/>
          <w:insideH w:val="single" w:sz="2" w:space="0" w:color="262626" w:themeColor="text1" w:themeTint="D9"/>
          <w:insideV w:val="single" w:sz="2" w:space="0" w:color="262626" w:themeColor="text1" w:themeTint="D9"/>
        </w:tblBorders>
        <w:tblLayout w:type="fixed"/>
        <w:tblCellMar>
          <w:left w:w="0" w:type="dxa"/>
          <w:right w:w="0" w:type="dxa"/>
        </w:tblCellMar>
        <w:tblLook w:val="0160" w:firstRow="1" w:lastRow="1" w:firstColumn="0" w:lastColumn="1" w:noHBand="0" w:noVBand="0"/>
      </w:tblPr>
      <w:tblGrid>
        <w:gridCol w:w="3272"/>
        <w:gridCol w:w="2790"/>
        <w:gridCol w:w="3464"/>
      </w:tblGrid>
      <w:tr w:rsidR="00FC7886" w:rsidRPr="00EF4C58" w14:paraId="3AC9E41C" w14:textId="38494579" w:rsidTr="007E3899">
        <w:trPr>
          <w:cantSplit/>
          <w:trHeight w:val="102"/>
          <w:tblHeader/>
        </w:trPr>
        <w:tc>
          <w:tcPr>
            <w:tcW w:w="3272" w:type="dxa"/>
            <w:shd w:val="clear" w:color="auto" w:fill="auto"/>
            <w:vAlign w:val="center"/>
          </w:tcPr>
          <w:p w14:paraId="7DF0CD1F" w14:textId="77777777" w:rsidR="00FC7886" w:rsidRPr="00EF4C58" w:rsidRDefault="00FC7886" w:rsidP="00F14E09">
            <w:pPr>
              <w:spacing w:before="80" w:after="80"/>
              <w:ind w:left="105" w:right="0"/>
              <w:jc w:val="left"/>
              <w:rPr>
                <w:rFonts w:asciiTheme="minorBidi" w:hAnsiTheme="minorBidi" w:cstheme="minorBidi"/>
                <w:b/>
                <w:bCs/>
                <w:sz w:val="24"/>
                <w:szCs w:val="24"/>
              </w:rPr>
            </w:pPr>
            <w:bookmarkStart w:id="5" w:name="ColumnTitle_1"/>
            <w:r w:rsidRPr="00EF4C58">
              <w:rPr>
                <w:rFonts w:asciiTheme="minorBidi" w:hAnsiTheme="minorBidi" w:cstheme="minorBidi"/>
                <w:b/>
                <w:bCs/>
                <w:sz w:val="24"/>
                <w:szCs w:val="24"/>
              </w:rPr>
              <w:t>Risk factor</w:t>
            </w:r>
          </w:p>
        </w:tc>
        <w:tc>
          <w:tcPr>
            <w:tcW w:w="2790" w:type="dxa"/>
            <w:shd w:val="clear" w:color="auto" w:fill="auto"/>
            <w:vAlign w:val="center"/>
          </w:tcPr>
          <w:p w14:paraId="19FA0D62" w14:textId="0AC9D1D9" w:rsidR="00FC7886" w:rsidRPr="00EF4C58" w:rsidRDefault="00FC7886" w:rsidP="00F14E09">
            <w:pPr>
              <w:spacing w:before="80" w:after="80"/>
              <w:ind w:left="255" w:right="0"/>
              <w:jc w:val="left"/>
              <w:rPr>
                <w:rFonts w:asciiTheme="minorBidi" w:hAnsiTheme="minorBidi" w:cstheme="minorBidi"/>
                <w:b/>
                <w:bCs/>
                <w:sz w:val="24"/>
                <w:szCs w:val="24"/>
              </w:rPr>
            </w:pPr>
            <w:r w:rsidRPr="00EF4C58">
              <w:rPr>
                <w:rFonts w:asciiTheme="minorBidi" w:hAnsiTheme="minorBidi" w:cstheme="minorBidi"/>
                <w:b/>
                <w:bCs/>
                <w:sz w:val="24"/>
                <w:szCs w:val="24"/>
              </w:rPr>
              <w:t xml:space="preserve">Risk factor impact </w:t>
            </w:r>
          </w:p>
        </w:tc>
        <w:tc>
          <w:tcPr>
            <w:tcW w:w="3464" w:type="dxa"/>
            <w:shd w:val="clear" w:color="auto" w:fill="auto"/>
            <w:vAlign w:val="center"/>
          </w:tcPr>
          <w:p w14:paraId="28E02A77" w14:textId="759FCC52" w:rsidR="00FC7886" w:rsidRPr="00EF4C58" w:rsidRDefault="00FC7886" w:rsidP="00F14E09">
            <w:pPr>
              <w:spacing w:before="80" w:after="80"/>
              <w:ind w:left="165" w:right="0"/>
              <w:jc w:val="left"/>
              <w:rPr>
                <w:rFonts w:asciiTheme="minorBidi" w:hAnsiTheme="minorBidi" w:cstheme="minorBidi"/>
                <w:b/>
                <w:bCs/>
                <w:sz w:val="24"/>
                <w:szCs w:val="24"/>
              </w:rPr>
            </w:pPr>
            <w:r w:rsidRPr="00EF4C58">
              <w:rPr>
                <w:rFonts w:asciiTheme="minorBidi" w:hAnsiTheme="minorBidi" w:cstheme="minorBidi"/>
                <w:b/>
                <w:bCs/>
                <w:sz w:val="24"/>
                <w:szCs w:val="24"/>
              </w:rPr>
              <w:t>Risk Owner</w:t>
            </w:r>
          </w:p>
        </w:tc>
      </w:tr>
      <w:bookmarkEnd w:id="5"/>
      <w:tr w:rsidR="00FC7886" w:rsidRPr="00EF4C58" w14:paraId="3FBED18F" w14:textId="77777777" w:rsidTr="007E3899">
        <w:trPr>
          <w:cantSplit/>
        </w:trPr>
        <w:tc>
          <w:tcPr>
            <w:tcW w:w="3272" w:type="dxa"/>
            <w:vAlign w:val="center"/>
          </w:tcPr>
          <w:p w14:paraId="6E40C795"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Overall effect of credit risks</w:t>
            </w:r>
          </w:p>
        </w:tc>
        <w:tc>
          <w:tcPr>
            <w:tcW w:w="2790" w:type="dxa"/>
            <w:shd w:val="clear" w:color="auto" w:fill="auto"/>
            <w:vAlign w:val="center"/>
          </w:tcPr>
          <w:p w14:paraId="46358EEC"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Low-medium</w:t>
            </w:r>
          </w:p>
        </w:tc>
        <w:tc>
          <w:tcPr>
            <w:tcW w:w="3464" w:type="dxa"/>
            <w:shd w:val="clear" w:color="auto" w:fill="auto"/>
            <w:vAlign w:val="center"/>
          </w:tcPr>
          <w:p w14:paraId="0FB8CDE0" w14:textId="77777777" w:rsidR="00FC7886" w:rsidRPr="00EF4C58" w:rsidRDefault="00FC7886"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Business Division</w:t>
            </w:r>
          </w:p>
        </w:tc>
      </w:tr>
      <w:tr w:rsidR="00FC7886" w:rsidRPr="00EF4C58" w14:paraId="50ED45B8" w14:textId="77777777" w:rsidTr="007E3899">
        <w:trPr>
          <w:cantSplit/>
        </w:trPr>
        <w:tc>
          <w:tcPr>
            <w:tcW w:w="3272" w:type="dxa"/>
            <w:vAlign w:val="center"/>
          </w:tcPr>
          <w:p w14:paraId="167A23DB"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Risk from quality of borrowers and collateral</w:t>
            </w:r>
          </w:p>
        </w:tc>
        <w:tc>
          <w:tcPr>
            <w:tcW w:w="2790" w:type="dxa"/>
            <w:shd w:val="clear" w:color="auto" w:fill="auto"/>
            <w:vAlign w:val="center"/>
          </w:tcPr>
          <w:p w14:paraId="66BE5848"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Low-medium</w:t>
            </w:r>
          </w:p>
        </w:tc>
        <w:tc>
          <w:tcPr>
            <w:tcW w:w="3464" w:type="dxa"/>
            <w:shd w:val="clear" w:color="auto" w:fill="auto"/>
            <w:vAlign w:val="center"/>
          </w:tcPr>
          <w:p w14:paraId="2F4DA630"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Business Division</w:t>
            </w:r>
          </w:p>
        </w:tc>
      </w:tr>
      <w:tr w:rsidR="00FC7886" w:rsidRPr="00EF4C58" w14:paraId="636A2F5A" w14:textId="77777777" w:rsidTr="007E3899">
        <w:trPr>
          <w:cantSplit/>
        </w:trPr>
        <w:tc>
          <w:tcPr>
            <w:tcW w:w="3272" w:type="dxa"/>
            <w:vAlign w:val="center"/>
          </w:tcPr>
          <w:p w14:paraId="39988C38"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 xml:space="preserve">Risk from industry concentration </w:t>
            </w:r>
          </w:p>
        </w:tc>
        <w:tc>
          <w:tcPr>
            <w:tcW w:w="2790" w:type="dxa"/>
            <w:shd w:val="clear" w:color="auto" w:fill="auto"/>
            <w:vAlign w:val="center"/>
          </w:tcPr>
          <w:p w14:paraId="2C481B29"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Low-medium</w:t>
            </w:r>
          </w:p>
        </w:tc>
        <w:tc>
          <w:tcPr>
            <w:tcW w:w="3464" w:type="dxa"/>
            <w:shd w:val="clear" w:color="auto" w:fill="auto"/>
            <w:vAlign w:val="center"/>
          </w:tcPr>
          <w:p w14:paraId="6546AD10"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Business Division</w:t>
            </w:r>
          </w:p>
        </w:tc>
      </w:tr>
      <w:tr w:rsidR="00FC7886" w:rsidRPr="00EF4C58" w14:paraId="629C88D7" w14:textId="77777777" w:rsidTr="007E3899">
        <w:trPr>
          <w:cantSplit/>
        </w:trPr>
        <w:tc>
          <w:tcPr>
            <w:tcW w:w="3272" w:type="dxa"/>
            <w:vAlign w:val="center"/>
          </w:tcPr>
          <w:p w14:paraId="7BA78927"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Risk from concentration of borrowers/ borrower groups</w:t>
            </w:r>
          </w:p>
        </w:tc>
        <w:tc>
          <w:tcPr>
            <w:tcW w:w="2790" w:type="dxa"/>
            <w:shd w:val="clear" w:color="auto" w:fill="auto"/>
            <w:vAlign w:val="center"/>
          </w:tcPr>
          <w:p w14:paraId="654587DD"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w:t>
            </w:r>
          </w:p>
        </w:tc>
        <w:tc>
          <w:tcPr>
            <w:tcW w:w="3464" w:type="dxa"/>
            <w:shd w:val="clear" w:color="auto" w:fill="auto"/>
            <w:vAlign w:val="center"/>
          </w:tcPr>
          <w:p w14:paraId="377A1C4D"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Business Division</w:t>
            </w:r>
          </w:p>
        </w:tc>
      </w:tr>
      <w:tr w:rsidR="00FC7886" w:rsidRPr="00EF4C58" w14:paraId="19942A32" w14:textId="77777777" w:rsidTr="007E3899">
        <w:trPr>
          <w:cantSplit/>
        </w:trPr>
        <w:tc>
          <w:tcPr>
            <w:tcW w:w="3272" w:type="dxa"/>
            <w:vAlign w:val="center"/>
          </w:tcPr>
          <w:p w14:paraId="2A3A9C43"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Risk with respect to mortgage portfolio</w:t>
            </w:r>
          </w:p>
        </w:tc>
        <w:tc>
          <w:tcPr>
            <w:tcW w:w="2790" w:type="dxa"/>
            <w:shd w:val="clear" w:color="auto" w:fill="auto"/>
            <w:vAlign w:val="center"/>
          </w:tcPr>
          <w:p w14:paraId="25898F5B"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w:t>
            </w:r>
          </w:p>
        </w:tc>
        <w:tc>
          <w:tcPr>
            <w:tcW w:w="3464" w:type="dxa"/>
            <w:shd w:val="clear" w:color="auto" w:fill="auto"/>
            <w:vAlign w:val="center"/>
          </w:tcPr>
          <w:p w14:paraId="294D67CF"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Business Division</w:t>
            </w:r>
          </w:p>
        </w:tc>
      </w:tr>
      <w:tr w:rsidR="00FC7886" w:rsidRPr="00EF4C58" w14:paraId="61693B09" w14:textId="77777777" w:rsidTr="007E3899">
        <w:trPr>
          <w:cantSplit/>
        </w:trPr>
        <w:tc>
          <w:tcPr>
            <w:tcW w:w="3272" w:type="dxa"/>
            <w:vAlign w:val="center"/>
          </w:tcPr>
          <w:p w14:paraId="64238A44"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Overall effect of market risk</w:t>
            </w:r>
            <w:r w:rsidR="00D757CA" w:rsidRPr="00EF4C58">
              <w:rPr>
                <w:rFonts w:asciiTheme="minorBidi" w:hAnsiTheme="minorBidi" w:cstheme="minorBidi"/>
                <w:sz w:val="24"/>
                <w:szCs w:val="24"/>
              </w:rPr>
              <w:fldChar w:fldCharType="begin"/>
            </w:r>
            <w:r w:rsidR="00D757CA" w:rsidRPr="00EF4C58">
              <w:rPr>
                <w:sz w:val="24"/>
                <w:szCs w:val="24"/>
              </w:rPr>
              <w:instrText xml:space="preserve"> XE "</w:instrText>
            </w:r>
            <w:r w:rsidR="00D757CA" w:rsidRPr="00EF4C58">
              <w:rPr>
                <w:rFonts w:asciiTheme="minorBidi" w:hAnsiTheme="minorBidi" w:cstheme="minorBidi"/>
                <w:sz w:val="24"/>
                <w:szCs w:val="24"/>
              </w:rPr>
              <w:instrText>market risk</w:instrText>
            </w:r>
            <w:r w:rsidR="00D757CA" w:rsidRPr="00EF4C58">
              <w:rPr>
                <w:sz w:val="24"/>
                <w:szCs w:val="24"/>
              </w:rPr>
              <w:instrText xml:space="preserve">" </w:instrText>
            </w:r>
            <w:r w:rsidR="00D757CA" w:rsidRPr="00EF4C58">
              <w:rPr>
                <w:rFonts w:asciiTheme="minorBidi" w:hAnsiTheme="minorBidi" w:cstheme="minorBidi"/>
                <w:sz w:val="24"/>
                <w:szCs w:val="24"/>
              </w:rPr>
              <w:fldChar w:fldCharType="end"/>
            </w:r>
          </w:p>
        </w:tc>
        <w:tc>
          <w:tcPr>
            <w:tcW w:w="2790" w:type="dxa"/>
            <w:shd w:val="clear" w:color="auto" w:fill="auto"/>
            <w:vAlign w:val="center"/>
          </w:tcPr>
          <w:p w14:paraId="427C4532"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Low-medium</w:t>
            </w:r>
          </w:p>
        </w:tc>
        <w:tc>
          <w:tcPr>
            <w:tcW w:w="3464" w:type="dxa"/>
            <w:shd w:val="clear" w:color="auto" w:fill="auto"/>
            <w:vAlign w:val="center"/>
          </w:tcPr>
          <w:p w14:paraId="3477579F" w14:textId="77777777" w:rsidR="00FC7886" w:rsidRPr="00EF4C58" w:rsidRDefault="00FC7886"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Financial Division</w:t>
            </w:r>
          </w:p>
        </w:tc>
      </w:tr>
      <w:tr w:rsidR="00FC7886" w:rsidRPr="00EF4C58" w14:paraId="240644A3" w14:textId="77777777" w:rsidTr="007E3899">
        <w:trPr>
          <w:cantSplit/>
        </w:trPr>
        <w:tc>
          <w:tcPr>
            <w:tcW w:w="3272" w:type="dxa"/>
            <w:vAlign w:val="center"/>
          </w:tcPr>
          <w:p w14:paraId="1D0AC507"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Interest risk</w:t>
            </w:r>
            <w:r w:rsidRPr="00EF4C58">
              <w:rPr>
                <w:rFonts w:asciiTheme="minorBidi" w:hAnsiTheme="minorBidi" w:cstheme="minorBidi"/>
                <w:sz w:val="24"/>
                <w:szCs w:val="24"/>
              </w:rPr>
              <w:fldChar w:fldCharType="begin"/>
            </w:r>
            <w:r w:rsidRPr="00EF4C58">
              <w:rPr>
                <w:rFonts w:asciiTheme="minorBidi" w:hAnsiTheme="minorBidi" w:cstheme="minorBidi"/>
                <w:sz w:val="24"/>
                <w:szCs w:val="24"/>
              </w:rPr>
              <w:instrText xml:space="preserve"> XE "Interest risk" </w:instrText>
            </w:r>
            <w:r w:rsidRPr="00EF4C58">
              <w:rPr>
                <w:rFonts w:asciiTheme="minorBidi" w:hAnsiTheme="minorBidi" w:cstheme="minorBidi"/>
                <w:sz w:val="24"/>
                <w:szCs w:val="24"/>
              </w:rPr>
              <w:fldChar w:fldCharType="end"/>
            </w:r>
          </w:p>
        </w:tc>
        <w:tc>
          <w:tcPr>
            <w:tcW w:w="2790" w:type="dxa"/>
            <w:shd w:val="clear" w:color="auto" w:fill="auto"/>
            <w:vAlign w:val="center"/>
          </w:tcPr>
          <w:p w14:paraId="41356194"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Medium</w:t>
            </w:r>
          </w:p>
        </w:tc>
        <w:tc>
          <w:tcPr>
            <w:tcW w:w="3464" w:type="dxa"/>
            <w:shd w:val="clear" w:color="auto" w:fill="auto"/>
            <w:vAlign w:val="center"/>
          </w:tcPr>
          <w:p w14:paraId="37ED41E8"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Financial Division</w:t>
            </w:r>
          </w:p>
        </w:tc>
      </w:tr>
      <w:tr w:rsidR="00FC7886" w:rsidRPr="00EF4C58" w14:paraId="305EE3DF" w14:textId="77777777" w:rsidTr="007E3899">
        <w:trPr>
          <w:cantSplit/>
        </w:trPr>
        <w:tc>
          <w:tcPr>
            <w:tcW w:w="3272" w:type="dxa"/>
            <w:vAlign w:val="center"/>
          </w:tcPr>
          <w:p w14:paraId="1F83F583"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Inflation risk</w:t>
            </w:r>
          </w:p>
        </w:tc>
        <w:tc>
          <w:tcPr>
            <w:tcW w:w="2790" w:type="dxa"/>
            <w:shd w:val="clear" w:color="auto" w:fill="auto"/>
            <w:vAlign w:val="center"/>
          </w:tcPr>
          <w:p w14:paraId="246E6354"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Low-medium</w:t>
            </w:r>
          </w:p>
        </w:tc>
        <w:tc>
          <w:tcPr>
            <w:tcW w:w="3464" w:type="dxa"/>
            <w:shd w:val="clear" w:color="auto" w:fill="auto"/>
            <w:vAlign w:val="center"/>
          </w:tcPr>
          <w:p w14:paraId="39E564F5"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Financial Division</w:t>
            </w:r>
          </w:p>
        </w:tc>
      </w:tr>
      <w:tr w:rsidR="00FC7886" w:rsidRPr="00EF4C58" w14:paraId="3CB51B3F" w14:textId="77777777" w:rsidTr="007E3899">
        <w:trPr>
          <w:cantSplit/>
        </w:trPr>
        <w:tc>
          <w:tcPr>
            <w:tcW w:w="3272" w:type="dxa"/>
            <w:vAlign w:val="center"/>
          </w:tcPr>
          <w:p w14:paraId="4358A5D2"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Exchange rate risk</w:t>
            </w:r>
          </w:p>
        </w:tc>
        <w:tc>
          <w:tcPr>
            <w:tcW w:w="2790" w:type="dxa"/>
            <w:shd w:val="clear" w:color="auto" w:fill="auto"/>
            <w:vAlign w:val="center"/>
          </w:tcPr>
          <w:p w14:paraId="3ADE51E4"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w:t>
            </w:r>
          </w:p>
        </w:tc>
        <w:tc>
          <w:tcPr>
            <w:tcW w:w="3464" w:type="dxa"/>
            <w:shd w:val="clear" w:color="auto" w:fill="auto"/>
            <w:vAlign w:val="center"/>
          </w:tcPr>
          <w:p w14:paraId="7DF8612E"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Financial Division</w:t>
            </w:r>
          </w:p>
        </w:tc>
      </w:tr>
      <w:tr w:rsidR="00FC7886" w:rsidRPr="00EF4C58" w14:paraId="6BC7E54D" w14:textId="77777777" w:rsidTr="007E3899">
        <w:trPr>
          <w:cantSplit/>
        </w:trPr>
        <w:tc>
          <w:tcPr>
            <w:tcW w:w="3272" w:type="dxa"/>
            <w:vAlign w:val="center"/>
          </w:tcPr>
          <w:p w14:paraId="0AE30B58"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Share price risk</w:t>
            </w:r>
          </w:p>
        </w:tc>
        <w:tc>
          <w:tcPr>
            <w:tcW w:w="2790" w:type="dxa"/>
            <w:shd w:val="clear" w:color="auto" w:fill="auto"/>
            <w:vAlign w:val="center"/>
          </w:tcPr>
          <w:p w14:paraId="4336DF13"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w:t>
            </w:r>
          </w:p>
        </w:tc>
        <w:tc>
          <w:tcPr>
            <w:tcW w:w="3464" w:type="dxa"/>
            <w:shd w:val="clear" w:color="auto" w:fill="auto"/>
            <w:vAlign w:val="center"/>
          </w:tcPr>
          <w:p w14:paraId="2B18A6E8" w14:textId="77777777" w:rsidR="00FC7886" w:rsidRPr="00EF4C58" w:rsidRDefault="001D1E95"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Financial Division</w:t>
            </w:r>
          </w:p>
        </w:tc>
      </w:tr>
      <w:tr w:rsidR="00FC7886" w:rsidRPr="00EF4C58" w14:paraId="1D094831" w14:textId="77777777" w:rsidTr="007E3899">
        <w:trPr>
          <w:cantSplit/>
        </w:trPr>
        <w:tc>
          <w:tcPr>
            <w:tcW w:w="3272" w:type="dxa"/>
            <w:vAlign w:val="center"/>
          </w:tcPr>
          <w:p w14:paraId="6EB49EB3"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Liquidity risk</w:t>
            </w:r>
            <w:r w:rsidRPr="00EF4C58">
              <w:rPr>
                <w:rFonts w:asciiTheme="minorBidi" w:hAnsiTheme="minorBidi" w:cstheme="minorBidi"/>
                <w:sz w:val="24"/>
                <w:szCs w:val="24"/>
              </w:rPr>
              <w:fldChar w:fldCharType="begin"/>
            </w:r>
            <w:r w:rsidRPr="00EF4C58">
              <w:rPr>
                <w:rFonts w:asciiTheme="minorBidi" w:hAnsiTheme="minorBidi" w:cstheme="minorBidi"/>
                <w:sz w:val="24"/>
                <w:szCs w:val="24"/>
              </w:rPr>
              <w:instrText xml:space="preserve"> XE "Liquidity risk" </w:instrText>
            </w:r>
            <w:r w:rsidRPr="00EF4C58">
              <w:rPr>
                <w:rFonts w:asciiTheme="minorBidi" w:hAnsiTheme="minorBidi" w:cstheme="minorBidi"/>
                <w:sz w:val="24"/>
                <w:szCs w:val="24"/>
              </w:rPr>
              <w:fldChar w:fldCharType="end"/>
            </w:r>
          </w:p>
        </w:tc>
        <w:tc>
          <w:tcPr>
            <w:tcW w:w="2790" w:type="dxa"/>
            <w:shd w:val="clear" w:color="auto" w:fill="auto"/>
            <w:vAlign w:val="center"/>
          </w:tcPr>
          <w:p w14:paraId="2239303E"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Low-medium</w:t>
            </w:r>
          </w:p>
        </w:tc>
        <w:tc>
          <w:tcPr>
            <w:tcW w:w="3464" w:type="dxa"/>
            <w:shd w:val="clear" w:color="auto" w:fill="auto"/>
            <w:vAlign w:val="center"/>
          </w:tcPr>
          <w:p w14:paraId="06FC6DB4" w14:textId="77777777" w:rsidR="00FC7886" w:rsidRPr="00EF4C58" w:rsidRDefault="00FC7886"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Financial Division</w:t>
            </w:r>
          </w:p>
        </w:tc>
      </w:tr>
      <w:tr w:rsidR="00FC7886" w:rsidRPr="00EF4C58" w14:paraId="583CBF61" w14:textId="77777777" w:rsidTr="007E3899">
        <w:trPr>
          <w:cantSplit/>
        </w:trPr>
        <w:tc>
          <w:tcPr>
            <w:tcW w:w="3272" w:type="dxa"/>
            <w:vAlign w:val="center"/>
          </w:tcPr>
          <w:p w14:paraId="08234351"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Overall effect of operational risk</w:t>
            </w:r>
          </w:p>
        </w:tc>
        <w:tc>
          <w:tcPr>
            <w:tcW w:w="2790" w:type="dxa"/>
            <w:shd w:val="clear" w:color="auto" w:fill="auto"/>
            <w:vAlign w:val="center"/>
          </w:tcPr>
          <w:p w14:paraId="4BDA20CA"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Medium</w:t>
            </w:r>
          </w:p>
        </w:tc>
        <w:tc>
          <w:tcPr>
            <w:tcW w:w="3464" w:type="dxa"/>
            <w:shd w:val="clear" w:color="auto" w:fill="auto"/>
            <w:vAlign w:val="center"/>
          </w:tcPr>
          <w:p w14:paraId="0A28BF3A" w14:textId="77777777" w:rsidR="00FC7886" w:rsidRPr="00EF4C58" w:rsidRDefault="00FC7886"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Risks Control Division</w:t>
            </w:r>
          </w:p>
        </w:tc>
      </w:tr>
      <w:tr w:rsidR="00FC7886" w:rsidRPr="00EF4C58" w14:paraId="2340D8C7" w14:textId="77777777" w:rsidTr="007E3899">
        <w:trPr>
          <w:cantSplit/>
        </w:trPr>
        <w:tc>
          <w:tcPr>
            <w:tcW w:w="3272" w:type="dxa"/>
            <w:vAlign w:val="center"/>
          </w:tcPr>
          <w:p w14:paraId="2D86C5A1" w14:textId="77777777" w:rsidR="00FC7886" w:rsidRPr="00EF4C58" w:rsidRDefault="00FC7886" w:rsidP="00F14E09">
            <w:pPr>
              <w:spacing w:before="40" w:after="40"/>
              <w:ind w:left="105"/>
              <w:jc w:val="left"/>
              <w:rPr>
                <w:rFonts w:asciiTheme="minorBidi" w:hAnsiTheme="minorBidi" w:cstheme="minorBidi"/>
                <w:sz w:val="24"/>
                <w:szCs w:val="24"/>
              </w:rPr>
            </w:pPr>
            <w:r w:rsidRPr="00EF4C58">
              <w:rPr>
                <w:rFonts w:asciiTheme="minorBidi" w:hAnsiTheme="minorBidi" w:cstheme="minorBidi"/>
                <w:sz w:val="24"/>
                <w:szCs w:val="24"/>
              </w:rPr>
              <w:t>Cyber and information security</w:t>
            </w:r>
          </w:p>
        </w:tc>
        <w:tc>
          <w:tcPr>
            <w:tcW w:w="2790" w:type="dxa"/>
            <w:shd w:val="clear" w:color="auto" w:fill="auto"/>
            <w:vAlign w:val="center"/>
          </w:tcPr>
          <w:p w14:paraId="26587FB7" w14:textId="77777777" w:rsidR="00FC7886" w:rsidRPr="00EF4C58" w:rsidRDefault="00FC7886" w:rsidP="00F14E09">
            <w:pPr>
              <w:spacing w:before="40" w:after="40"/>
              <w:ind w:left="255"/>
              <w:jc w:val="left"/>
              <w:rPr>
                <w:rFonts w:asciiTheme="minorBidi" w:hAnsiTheme="minorBidi" w:cstheme="minorBidi"/>
                <w:sz w:val="24"/>
                <w:szCs w:val="24"/>
              </w:rPr>
            </w:pPr>
            <w:r w:rsidRPr="00EF4C58">
              <w:rPr>
                <w:rFonts w:asciiTheme="minorBidi" w:hAnsiTheme="minorBidi" w:cstheme="minorBidi"/>
                <w:sz w:val="24"/>
                <w:szCs w:val="24"/>
              </w:rPr>
              <w:t xml:space="preserve">Medium </w:t>
            </w:r>
          </w:p>
        </w:tc>
        <w:tc>
          <w:tcPr>
            <w:tcW w:w="3464" w:type="dxa"/>
            <w:shd w:val="clear" w:color="auto" w:fill="auto"/>
            <w:vAlign w:val="center"/>
          </w:tcPr>
          <w:p w14:paraId="2C285B3C" w14:textId="77777777" w:rsidR="00FC7886" w:rsidRPr="00EF4C58" w:rsidRDefault="00FC7886" w:rsidP="00F14E09">
            <w:pPr>
              <w:spacing w:before="40" w:after="40"/>
              <w:ind w:left="165"/>
              <w:jc w:val="left"/>
              <w:rPr>
                <w:rFonts w:asciiTheme="minorBidi" w:hAnsiTheme="minorBidi" w:cstheme="minorBidi"/>
                <w:sz w:val="24"/>
                <w:szCs w:val="24"/>
              </w:rPr>
            </w:pPr>
            <w:r w:rsidRPr="00EF4C58">
              <w:rPr>
                <w:rFonts w:asciiTheme="minorBidi" w:hAnsiTheme="minorBidi" w:cstheme="minorBidi"/>
                <w:sz w:val="24"/>
                <w:szCs w:val="24"/>
              </w:rPr>
              <w:t>Manager, Risks Control Division</w:t>
            </w:r>
          </w:p>
        </w:tc>
      </w:tr>
    </w:tbl>
    <w:p w14:paraId="14D41F46" w14:textId="77777777" w:rsidR="000F7CC1" w:rsidRPr="00EF4C58" w:rsidRDefault="00FC7886" w:rsidP="00DF55A5">
      <w:pPr>
        <w:spacing w:before="240" w:line="360" w:lineRule="auto"/>
        <w:jc w:val="left"/>
        <w:rPr>
          <w:rFonts w:asciiTheme="minorBidi" w:hAnsiTheme="minorBidi" w:cstheme="minorBidi"/>
          <w:sz w:val="24"/>
          <w:szCs w:val="24"/>
        </w:rPr>
      </w:pPr>
      <w:r w:rsidRPr="00EF4C58">
        <w:rPr>
          <w:rFonts w:asciiTheme="minorBidi" w:hAnsiTheme="minorBidi" w:cstheme="minorBidi"/>
          <w:sz w:val="24"/>
          <w:szCs w:val="24"/>
        </w:rPr>
        <w:t xml:space="preserve">The impact of the various risks factors in the table above have been determined based on management assessment, as provided from time to time. </w:t>
      </w:r>
    </w:p>
    <w:p w14:paraId="28C08B96" w14:textId="77777777" w:rsidR="00FC7886" w:rsidRPr="00EF4C58" w:rsidRDefault="00FC7886" w:rsidP="003955A9">
      <w:pPr>
        <w:spacing w:line="360" w:lineRule="auto"/>
        <w:jc w:val="left"/>
        <w:rPr>
          <w:rFonts w:asciiTheme="minorBidi" w:hAnsiTheme="minorBidi" w:cstheme="minorBidi"/>
          <w:sz w:val="24"/>
          <w:szCs w:val="24"/>
        </w:rPr>
      </w:pPr>
      <w:r w:rsidRPr="00EF4C58">
        <w:rPr>
          <w:rFonts w:asciiTheme="minorBidi" w:hAnsiTheme="minorBidi" w:cstheme="minorBidi"/>
          <w:sz w:val="24"/>
          <w:szCs w:val="24"/>
        </w:rPr>
        <w:t>These assessments are based on monitoring of various quantitative risk benchmarks specified by the Bank, includes the expected direction of their development and are based on qualitative assessment of risks management and the effectiveness of control circles, in line with the Bank's ICAAP process and its results , led by the Bank's Risk Managers.</w:t>
      </w:r>
    </w:p>
    <w:p w14:paraId="7DB7B415" w14:textId="77777777" w:rsidR="000F7CC1" w:rsidRPr="00EF4C58" w:rsidRDefault="000D7EF6" w:rsidP="003955A9">
      <w:pPr>
        <w:spacing w:before="120" w:line="360" w:lineRule="auto"/>
        <w:jc w:val="left"/>
        <w:rPr>
          <w:rFonts w:asciiTheme="minorBidi" w:hAnsiTheme="minorBidi" w:cstheme="minorBidi"/>
          <w:sz w:val="24"/>
          <w:szCs w:val="24"/>
        </w:rPr>
      </w:pPr>
      <w:r w:rsidRPr="00EF4C58">
        <w:rPr>
          <w:rFonts w:asciiTheme="minorBidi" w:hAnsiTheme="minorBidi" w:cstheme="minorBidi"/>
          <w:sz w:val="24"/>
          <w:szCs w:val="24"/>
        </w:rPr>
        <w:lastRenderedPageBreak/>
        <w:t xml:space="preserve">In the first quarter of 2019, the Bank's risk profile is low, similar to the risk profile at the end of 2018. </w:t>
      </w:r>
    </w:p>
    <w:p w14:paraId="0B848B7C" w14:textId="77777777" w:rsidR="000F7CC1" w:rsidRPr="00EF4C58" w:rsidRDefault="000D7EF6" w:rsidP="003955A9">
      <w:pPr>
        <w:spacing w:before="120" w:line="360" w:lineRule="auto"/>
        <w:jc w:val="left"/>
        <w:rPr>
          <w:rFonts w:asciiTheme="minorBidi" w:hAnsiTheme="minorBidi" w:cstheme="minorBidi"/>
          <w:sz w:val="24"/>
          <w:szCs w:val="24"/>
        </w:rPr>
      </w:pPr>
      <w:r w:rsidRPr="00EF4C58">
        <w:rPr>
          <w:rFonts w:asciiTheme="minorBidi" w:hAnsiTheme="minorBidi" w:cstheme="minorBidi"/>
          <w:sz w:val="24"/>
          <w:szCs w:val="24"/>
        </w:rPr>
        <w:t xml:space="preserve">Risks with a risk level other than Low typically arise from inherent risk in Bank operations, and are in line with the specified risk appetite principles. </w:t>
      </w:r>
    </w:p>
    <w:p w14:paraId="76E7BF47" w14:textId="77777777" w:rsidR="000D7EF6" w:rsidRPr="00EF4C58" w:rsidRDefault="000D7EF6" w:rsidP="003955A9">
      <w:pPr>
        <w:spacing w:before="120" w:line="360" w:lineRule="auto"/>
        <w:jc w:val="left"/>
        <w:rPr>
          <w:rFonts w:asciiTheme="minorBidi" w:hAnsiTheme="minorBidi" w:cstheme="minorBidi"/>
          <w:sz w:val="24"/>
          <w:szCs w:val="24"/>
        </w:rPr>
      </w:pPr>
      <w:r w:rsidRPr="00EF4C58">
        <w:rPr>
          <w:rFonts w:asciiTheme="minorBidi" w:hAnsiTheme="minorBidi" w:cstheme="minorBidi"/>
          <w:sz w:val="24"/>
          <w:szCs w:val="24"/>
        </w:rPr>
        <w:t>The potential loss due to unexpected events, relative to the Bank's capital and profit, is low; Bank profitability is stable, i.e. profit volatility is low and the capital cushion available to the Bank is satisfactory under stress scenarios as well.</w:t>
      </w:r>
    </w:p>
    <w:p w14:paraId="33A1FF94" w14:textId="77777777" w:rsidR="000F7CC1" w:rsidRPr="00EF4C58" w:rsidRDefault="00FC7886" w:rsidP="003955A9">
      <w:pPr>
        <w:spacing w:before="120" w:line="360" w:lineRule="auto"/>
        <w:jc w:val="left"/>
        <w:rPr>
          <w:rFonts w:asciiTheme="minorBidi" w:hAnsiTheme="minorBidi" w:cstheme="minorBidi"/>
          <w:sz w:val="24"/>
          <w:szCs w:val="24"/>
        </w:rPr>
      </w:pPr>
      <w:r w:rsidRPr="00EF4C58">
        <w:rPr>
          <w:rFonts w:asciiTheme="minorBidi" w:hAnsiTheme="minorBidi" w:cstheme="minorBidi"/>
          <w:sz w:val="24"/>
          <w:szCs w:val="24"/>
        </w:rPr>
        <w:t xml:space="preserve">The Bank conducts processes for risk identification and measurement, </w:t>
      </w:r>
      <w:proofErr w:type="spellStart"/>
      <w:r w:rsidRPr="00EF4C58">
        <w:rPr>
          <w:rFonts w:asciiTheme="minorBidi" w:hAnsiTheme="minorBidi" w:cstheme="minorBidi"/>
          <w:sz w:val="24"/>
          <w:szCs w:val="24"/>
        </w:rPr>
        <w:t>base</w:t>
      </w:r>
      <w:proofErr w:type="spellEnd"/>
      <w:r w:rsidRPr="00EF4C58">
        <w:rPr>
          <w:rFonts w:asciiTheme="minorBidi" w:hAnsiTheme="minorBidi" w:cstheme="minorBidi"/>
          <w:sz w:val="24"/>
          <w:szCs w:val="24"/>
        </w:rPr>
        <w:t xml:space="preserve"> on a range of methodologies to assess risk levels and exposure to various risks, in the normal course of business and under stress scenarios. </w:t>
      </w:r>
    </w:p>
    <w:p w14:paraId="68D6A31C" w14:textId="77777777" w:rsidR="00FC7886" w:rsidRPr="00EF4C58" w:rsidRDefault="00FC7886" w:rsidP="003955A9">
      <w:pPr>
        <w:spacing w:before="120" w:line="360" w:lineRule="auto"/>
        <w:jc w:val="left"/>
        <w:rPr>
          <w:rFonts w:asciiTheme="minorBidi" w:hAnsiTheme="minorBidi" w:cstheme="minorBidi"/>
          <w:sz w:val="24"/>
          <w:szCs w:val="24"/>
        </w:rPr>
      </w:pPr>
      <w:r w:rsidRPr="00EF4C58">
        <w:rPr>
          <w:rFonts w:asciiTheme="minorBidi" w:hAnsiTheme="minorBidi" w:cstheme="minorBidi"/>
          <w:sz w:val="24"/>
          <w:szCs w:val="24"/>
        </w:rPr>
        <w:t>The Bank applies quantitative measurement methods (models, benchmarks / indicators, scenarios and sensitivity analysis, inter alia) and qualitative measurement methods (expert assessments and surveys).</w:t>
      </w:r>
    </w:p>
    <w:p w14:paraId="0D3C5AEB" w14:textId="4B504358" w:rsidR="00FC7886" w:rsidRPr="007E3899" w:rsidRDefault="00FC7886" w:rsidP="007E3899">
      <w:pPr>
        <w:pStyle w:val="12-"/>
        <w:spacing w:before="120" w:after="200" w:line="240" w:lineRule="auto"/>
        <w:ind w:left="-100"/>
        <w:jc w:val="left"/>
        <w:outlineLvl w:val="1"/>
        <w:rPr>
          <w:noProof w:val="0"/>
          <w:color w:val="BE5611"/>
          <w:sz w:val="28"/>
          <w:szCs w:val="28"/>
          <w:lang w:eastAsia="en-US"/>
        </w:rPr>
      </w:pPr>
      <w:bookmarkStart w:id="6" w:name="_Toc9187304"/>
      <w:r w:rsidRPr="007E3899">
        <w:rPr>
          <w:noProof w:val="0"/>
          <w:color w:val="BE5611"/>
          <w:sz w:val="28"/>
          <w:szCs w:val="28"/>
          <w:lang w:eastAsia="en-US"/>
        </w:rPr>
        <w:t>Summary of Bank policy on major risks and developments in the first quarter of</w:t>
      </w:r>
      <w:r w:rsidR="00E61EDB" w:rsidRPr="007E3899">
        <w:rPr>
          <w:noProof w:val="0"/>
          <w:color w:val="BE5611"/>
          <w:sz w:val="28"/>
          <w:szCs w:val="28"/>
          <w:lang w:eastAsia="en-US"/>
        </w:rPr>
        <w:t> </w:t>
      </w:r>
      <w:r w:rsidRPr="007E3899">
        <w:rPr>
          <w:noProof w:val="0"/>
          <w:color w:val="BE5611"/>
          <w:sz w:val="28"/>
          <w:szCs w:val="28"/>
          <w:lang w:eastAsia="en-US"/>
        </w:rPr>
        <w:t>2019</w:t>
      </w:r>
      <w:bookmarkEnd w:id="6"/>
    </w:p>
    <w:p w14:paraId="5F789281" w14:textId="77777777" w:rsidR="001F7CE4" w:rsidRPr="00E7121F" w:rsidRDefault="001F7CE4" w:rsidP="007E3899">
      <w:pPr>
        <w:spacing w:before="160" w:after="120" w:line="360" w:lineRule="auto"/>
        <w:outlineLvl w:val="2"/>
        <w:rPr>
          <w:rFonts w:asciiTheme="minorBidi" w:hAnsiTheme="minorBidi" w:cstheme="minorBidi"/>
          <w:b/>
          <w:bCs/>
          <w:sz w:val="24"/>
          <w:szCs w:val="24"/>
        </w:rPr>
      </w:pPr>
      <w:r w:rsidRPr="00E7121F">
        <w:rPr>
          <w:rFonts w:asciiTheme="minorBidi" w:hAnsiTheme="minorBidi" w:cstheme="minorBidi"/>
          <w:b/>
          <w:bCs/>
          <w:sz w:val="24"/>
          <w:szCs w:val="24"/>
        </w:rPr>
        <w:t>Forward-Looking Information – Strategic plan</w:t>
      </w:r>
    </w:p>
    <w:p w14:paraId="2F99545A" w14:textId="77777777" w:rsidR="000F7CC1" w:rsidRPr="00E7121F" w:rsidRDefault="00880FB0" w:rsidP="00214E63">
      <w:pPr>
        <w:spacing w:before="40" w:line="360" w:lineRule="auto"/>
        <w:rPr>
          <w:rFonts w:asciiTheme="minorBidi" w:hAnsiTheme="minorBidi" w:cstheme="minorBidi"/>
          <w:spacing w:val="-4"/>
          <w:sz w:val="24"/>
          <w:szCs w:val="24"/>
        </w:rPr>
      </w:pPr>
      <w:r w:rsidRPr="00E7121F">
        <w:rPr>
          <w:rFonts w:asciiTheme="minorBidi" w:hAnsiTheme="minorBidi" w:cstheme="minorBidi"/>
          <w:spacing w:val="-4"/>
          <w:sz w:val="24"/>
          <w:szCs w:val="24"/>
        </w:rPr>
        <w:t>In 2018, the Bank Board of Directors has not declared any dividends</w:t>
      </w:r>
      <w:r w:rsidR="00845C45" w:rsidRPr="00E7121F">
        <w:rPr>
          <w:rFonts w:asciiTheme="minorBidi" w:hAnsiTheme="minorBidi" w:cstheme="minorBidi"/>
          <w:spacing w:val="-4"/>
          <w:sz w:val="24"/>
          <w:szCs w:val="24"/>
        </w:rPr>
        <w:fldChar w:fldCharType="begin"/>
      </w:r>
      <w:r w:rsidR="00845C45" w:rsidRPr="00E7121F">
        <w:rPr>
          <w:sz w:val="24"/>
          <w:szCs w:val="24"/>
        </w:rPr>
        <w:instrText xml:space="preserve"> XE "</w:instrText>
      </w:r>
      <w:r w:rsidR="00845C45" w:rsidRPr="00E7121F">
        <w:rPr>
          <w:rFonts w:asciiTheme="minorBidi" w:hAnsiTheme="minorBidi" w:cstheme="minorBidi"/>
          <w:sz w:val="24"/>
          <w:szCs w:val="24"/>
        </w:rPr>
        <w:instrText>dividends</w:instrText>
      </w:r>
      <w:r w:rsidR="00845C45" w:rsidRPr="00E7121F">
        <w:rPr>
          <w:sz w:val="24"/>
          <w:szCs w:val="24"/>
        </w:rPr>
        <w:instrText xml:space="preserve">" </w:instrText>
      </w:r>
      <w:r w:rsidR="00845C45" w:rsidRPr="00E7121F">
        <w:rPr>
          <w:rFonts w:asciiTheme="minorBidi" w:hAnsiTheme="minorBidi" w:cstheme="minorBidi"/>
          <w:spacing w:val="-4"/>
          <w:sz w:val="24"/>
          <w:szCs w:val="24"/>
        </w:rPr>
        <w:fldChar w:fldCharType="end"/>
      </w:r>
      <w:r w:rsidRPr="00E7121F">
        <w:rPr>
          <w:rFonts w:asciiTheme="minorBidi" w:hAnsiTheme="minorBidi" w:cstheme="minorBidi"/>
          <w:spacing w:val="-4"/>
          <w:sz w:val="24"/>
          <w:szCs w:val="24"/>
        </w:rPr>
        <w:t xml:space="preserve"> with respect to earnings in the second, third and fourth quarters of 2018, following developments in the investigation by the US DOJ, including the signing of a DPA agreement, dated March 12, 2019, with the US DOJ to conclude the investigation into the Bank Group's business with its US clients. </w:t>
      </w:r>
    </w:p>
    <w:p w14:paraId="2845D358" w14:textId="77777777" w:rsidR="00880FB0" w:rsidRPr="00E7121F" w:rsidRDefault="00880FB0"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For more information see Note 26.C.12 to the 2018 financial statements.</w:t>
      </w:r>
      <w:r w:rsidRPr="00E7121F">
        <w:rPr>
          <w:rFonts w:asciiTheme="minorBidi" w:hAnsiTheme="minorBidi" w:cstheme="minorBidi"/>
          <w:sz w:val="24"/>
          <w:szCs w:val="24"/>
        </w:rPr>
        <w:fldChar w:fldCharType="begin"/>
      </w:r>
      <w:r w:rsidRPr="00E7121F">
        <w:rPr>
          <w:rFonts w:asciiTheme="minorBidi" w:hAnsiTheme="minorBidi" w:cstheme="minorBidi"/>
          <w:sz w:val="24"/>
          <w:szCs w:val="24"/>
        </w:rPr>
        <w:instrText xml:space="preserve"> XE "</w:instrText>
      </w:r>
      <w:r w:rsidRPr="00E7121F">
        <w:rPr>
          <w:rFonts w:asciiTheme="minorBidi" w:eastAsia="Joker" w:hAnsiTheme="minorBidi"/>
          <w:sz w:val="24"/>
          <w:szCs w:val="24"/>
          <w:rtl/>
        </w:rPr>
        <w:instrText>דיבידנד</w:instrText>
      </w:r>
      <w:r w:rsidR="001848FF" w:rsidRPr="00E7121F">
        <w:rPr>
          <w:rFonts w:asciiTheme="minorBidi" w:eastAsia="Joker" w:hAnsiTheme="minorBidi" w:cstheme="minorBidi"/>
          <w:sz w:val="24"/>
          <w:szCs w:val="24"/>
        </w:rPr>
        <w:fldChar w:fldCharType="begin"/>
      </w:r>
      <w:r w:rsidR="001848FF" w:rsidRPr="00E7121F">
        <w:rPr>
          <w:rFonts w:asciiTheme="minorBidi" w:hAnsiTheme="minorBidi" w:cstheme="minorBidi"/>
          <w:sz w:val="24"/>
          <w:szCs w:val="24"/>
        </w:rPr>
        <w:instrText xml:space="preserve"> XE "Capital" </w:instrText>
      </w:r>
      <w:r w:rsidR="001848FF" w:rsidRPr="00E7121F">
        <w:rPr>
          <w:rFonts w:asciiTheme="minorBidi" w:eastAsia="Joker" w:hAnsiTheme="minorBidi" w:cstheme="minorBidi"/>
          <w:sz w:val="24"/>
          <w:szCs w:val="24"/>
        </w:rPr>
        <w:fldChar w:fldCharType="end"/>
      </w:r>
      <w:r w:rsidRPr="00E7121F">
        <w:rPr>
          <w:rFonts w:asciiTheme="minorBidi" w:hAnsiTheme="minorBidi" w:cstheme="minorBidi"/>
          <w:sz w:val="24"/>
          <w:szCs w:val="24"/>
        </w:rPr>
        <w:instrText xml:space="preserve">" </w:instrText>
      </w:r>
      <w:r w:rsidRPr="00E7121F">
        <w:rPr>
          <w:rFonts w:asciiTheme="minorBidi" w:hAnsiTheme="minorBidi" w:cstheme="minorBidi"/>
          <w:sz w:val="24"/>
          <w:szCs w:val="24"/>
        </w:rPr>
        <w:fldChar w:fldCharType="end"/>
      </w:r>
    </w:p>
    <w:p w14:paraId="19C997DC" w14:textId="77777777" w:rsidR="00880FB0" w:rsidRPr="00E7121F" w:rsidRDefault="00880FB0" w:rsidP="00214E63">
      <w:pPr>
        <w:spacing w:line="360" w:lineRule="auto"/>
        <w:rPr>
          <w:rFonts w:asciiTheme="minorBidi" w:hAnsiTheme="minorBidi" w:cstheme="minorBidi"/>
          <w:sz w:val="24"/>
          <w:szCs w:val="24"/>
        </w:rPr>
      </w:pPr>
      <w:r w:rsidRPr="00E7121F">
        <w:rPr>
          <w:rFonts w:asciiTheme="minorBidi" w:hAnsiTheme="minorBidi" w:cstheme="minorBidi"/>
          <w:sz w:val="24"/>
          <w:szCs w:val="24"/>
        </w:rPr>
        <w:t>The Bank’s Board of Directors, upon approving the signing of the agreement by the Bank, estimated that the Bank can achieve the outline for the five-year strategic plan for 2017-2021.</w:t>
      </w:r>
    </w:p>
    <w:p w14:paraId="15ED651C" w14:textId="4F4CAAF4" w:rsidR="009E65C1" w:rsidRDefault="00880FB0" w:rsidP="009E65C1">
      <w:pPr>
        <w:spacing w:line="360" w:lineRule="auto"/>
        <w:rPr>
          <w:rFonts w:asciiTheme="minorBidi" w:hAnsiTheme="minorBidi" w:cstheme="minorBidi"/>
          <w:b/>
          <w:bCs/>
          <w:sz w:val="24"/>
          <w:szCs w:val="24"/>
        </w:rPr>
      </w:pPr>
      <w:r w:rsidRPr="00E7121F">
        <w:rPr>
          <w:rFonts w:asciiTheme="minorBidi" w:hAnsiTheme="minorBidi" w:cstheme="minorBidi"/>
          <w:sz w:val="24"/>
          <w:szCs w:val="24"/>
        </w:rPr>
        <w:t>The Board of Directors further estimated at that time that in 2019, the Bank could resume acting in conformity with its policy of distributing dividends</w:t>
      </w:r>
      <w:r w:rsidR="00845C45" w:rsidRPr="00E7121F">
        <w:rPr>
          <w:rFonts w:asciiTheme="minorBidi" w:hAnsiTheme="minorBidi" w:cstheme="minorBidi"/>
          <w:sz w:val="24"/>
          <w:szCs w:val="24"/>
        </w:rPr>
        <w:fldChar w:fldCharType="begin"/>
      </w:r>
      <w:r w:rsidR="00845C45" w:rsidRPr="00E7121F">
        <w:rPr>
          <w:sz w:val="24"/>
          <w:szCs w:val="24"/>
        </w:rPr>
        <w:instrText xml:space="preserve"> XE "</w:instrText>
      </w:r>
      <w:r w:rsidR="00845C45" w:rsidRPr="00E7121F">
        <w:rPr>
          <w:rFonts w:asciiTheme="minorBidi" w:hAnsiTheme="minorBidi" w:cstheme="minorBidi"/>
          <w:sz w:val="24"/>
          <w:szCs w:val="24"/>
        </w:rPr>
        <w:instrText>dividends</w:instrText>
      </w:r>
      <w:r w:rsidR="00845C45" w:rsidRPr="00E7121F">
        <w:rPr>
          <w:sz w:val="24"/>
          <w:szCs w:val="24"/>
        </w:rPr>
        <w:instrText xml:space="preserve">" </w:instrText>
      </w:r>
      <w:r w:rsidR="00845C45" w:rsidRPr="00E7121F">
        <w:rPr>
          <w:rFonts w:asciiTheme="minorBidi" w:hAnsiTheme="minorBidi" w:cstheme="minorBidi"/>
          <w:sz w:val="24"/>
          <w:szCs w:val="24"/>
        </w:rPr>
        <w:fldChar w:fldCharType="end"/>
      </w:r>
      <w:r w:rsidRPr="00E7121F">
        <w:rPr>
          <w:rFonts w:asciiTheme="minorBidi" w:hAnsiTheme="minorBidi" w:cstheme="minorBidi"/>
          <w:sz w:val="24"/>
          <w:szCs w:val="24"/>
        </w:rPr>
        <w:t>, subject to terms and conditions prescribed in the strategic plan, including compliance with statutory requirements and limits stipulated by the Supervisor of Banks.</w:t>
      </w:r>
      <w:r w:rsidR="009E65C1">
        <w:rPr>
          <w:rFonts w:asciiTheme="minorBidi" w:hAnsiTheme="minorBidi" w:cstheme="minorBidi"/>
          <w:b/>
          <w:bCs/>
          <w:sz w:val="24"/>
          <w:szCs w:val="24"/>
        </w:rPr>
        <w:br w:type="page"/>
      </w:r>
    </w:p>
    <w:p w14:paraId="009274D1" w14:textId="16249ED1" w:rsidR="000D7EF6" w:rsidRPr="00E7121F" w:rsidRDefault="000D7EF6" w:rsidP="007E3899">
      <w:pPr>
        <w:spacing w:before="200" w:after="100"/>
        <w:outlineLvl w:val="2"/>
        <w:rPr>
          <w:rFonts w:asciiTheme="minorBidi" w:hAnsiTheme="minorBidi" w:cstheme="minorBidi"/>
          <w:b/>
          <w:bCs/>
          <w:sz w:val="24"/>
          <w:szCs w:val="24"/>
        </w:rPr>
      </w:pPr>
      <w:r w:rsidRPr="00E7121F">
        <w:rPr>
          <w:rFonts w:asciiTheme="minorBidi" w:hAnsiTheme="minorBidi" w:cstheme="minorBidi"/>
          <w:b/>
          <w:bCs/>
          <w:sz w:val="24"/>
          <w:szCs w:val="24"/>
        </w:rPr>
        <w:lastRenderedPageBreak/>
        <w:t>Credit risk</w:t>
      </w:r>
      <w:r w:rsidR="00845C45" w:rsidRPr="00E7121F">
        <w:rPr>
          <w:rFonts w:asciiTheme="minorBidi" w:hAnsiTheme="minorBidi" w:cstheme="minorBidi"/>
          <w:b/>
          <w:bCs/>
          <w:sz w:val="24"/>
          <w:szCs w:val="24"/>
        </w:rPr>
        <w:fldChar w:fldCharType="begin"/>
      </w:r>
      <w:r w:rsidR="00845C45" w:rsidRPr="00E7121F">
        <w:rPr>
          <w:sz w:val="24"/>
          <w:szCs w:val="24"/>
        </w:rPr>
        <w:instrText xml:space="preserve"> XE "</w:instrText>
      </w:r>
      <w:r w:rsidR="00845C45" w:rsidRPr="00E7121F">
        <w:rPr>
          <w:rFonts w:asciiTheme="minorBidi" w:hAnsiTheme="minorBidi" w:cstheme="minorBidi"/>
          <w:sz w:val="24"/>
          <w:szCs w:val="24"/>
        </w:rPr>
        <w:instrText>Credit risk</w:instrText>
      </w:r>
      <w:r w:rsidR="00845C45" w:rsidRPr="00E7121F">
        <w:rPr>
          <w:sz w:val="24"/>
          <w:szCs w:val="24"/>
        </w:rPr>
        <w:instrText xml:space="preserve">" </w:instrText>
      </w:r>
      <w:r w:rsidR="00845C45" w:rsidRPr="00E7121F">
        <w:rPr>
          <w:rFonts w:asciiTheme="minorBidi" w:hAnsiTheme="minorBidi" w:cstheme="minorBidi"/>
          <w:b/>
          <w:bCs/>
          <w:sz w:val="24"/>
          <w:szCs w:val="24"/>
        </w:rPr>
        <w:fldChar w:fldCharType="end"/>
      </w:r>
      <w:r w:rsidRPr="00E7121F">
        <w:rPr>
          <w:rFonts w:asciiTheme="minorBidi" w:hAnsiTheme="minorBidi" w:cstheme="minorBidi"/>
          <w:b/>
          <w:bCs/>
          <w:sz w:val="24"/>
          <w:szCs w:val="24"/>
        </w:rPr>
        <w:t xml:space="preserve"> </w:t>
      </w:r>
    </w:p>
    <w:p w14:paraId="0D981420" w14:textId="77777777" w:rsidR="000F7CC1" w:rsidRPr="00E7121F" w:rsidRDefault="000D7EF6" w:rsidP="00214E63">
      <w:pPr>
        <w:spacing w:before="40" w:line="360" w:lineRule="auto"/>
        <w:rPr>
          <w:rFonts w:asciiTheme="minorBidi" w:hAnsiTheme="minorBidi" w:cstheme="minorBidi"/>
          <w:spacing w:val="-6"/>
          <w:sz w:val="24"/>
          <w:szCs w:val="24"/>
        </w:rPr>
      </w:pPr>
      <w:r w:rsidRPr="00E7121F">
        <w:rPr>
          <w:rFonts w:asciiTheme="minorBidi" w:hAnsiTheme="minorBidi" w:cstheme="minorBidi"/>
          <w:spacing w:val="-6"/>
          <w:sz w:val="24"/>
          <w:szCs w:val="24"/>
        </w:rPr>
        <w:t xml:space="preserve">Business loans are managed using a range of risk benchmarks and its risk level is low-medium. </w:t>
      </w:r>
    </w:p>
    <w:p w14:paraId="1E48CAD2" w14:textId="77777777" w:rsidR="000F7CC1" w:rsidRPr="00E7121F" w:rsidRDefault="000D7EF6" w:rsidP="00214E63">
      <w:pPr>
        <w:spacing w:before="40" w:line="360" w:lineRule="auto"/>
        <w:rPr>
          <w:rFonts w:asciiTheme="minorBidi" w:hAnsiTheme="minorBidi" w:cstheme="minorBidi"/>
          <w:spacing w:val="-6"/>
          <w:sz w:val="24"/>
          <w:szCs w:val="24"/>
        </w:rPr>
      </w:pPr>
      <w:r w:rsidRPr="00E7121F">
        <w:rPr>
          <w:rFonts w:asciiTheme="minorBidi" w:hAnsiTheme="minorBidi" w:cstheme="minorBidi"/>
          <w:spacing w:val="-6"/>
          <w:sz w:val="24"/>
          <w:szCs w:val="24"/>
        </w:rPr>
        <w:t xml:space="preserve">The Bank has the business. legal and operating infrastructure for flexible management of credit risk by selling and/or sharing risk. </w:t>
      </w:r>
    </w:p>
    <w:p w14:paraId="6999AC4C" w14:textId="77777777" w:rsidR="000D7EF6"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In the first quarter of 2019, there were no deviations from risk limits, and the Bank is acting and constantly reviewing the risk profile and limits, in line with the scope of operations and risk.</w:t>
      </w:r>
    </w:p>
    <w:p w14:paraId="4773C52D"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Housing loans carry a significant weight out of total credit risk of the Bank; however, the overall risk level in the mortgage portfolio is low. </w:t>
      </w:r>
    </w:p>
    <w:p w14:paraId="3F601E2C"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This area typically has a widely diversified borrower base from different economic sectors</w:t>
      </w:r>
      <w:r w:rsidR="00D757CA" w:rsidRPr="00E7121F">
        <w:rPr>
          <w:rFonts w:asciiTheme="minorBidi" w:hAnsiTheme="minorBidi" w:cstheme="minorBidi"/>
          <w:sz w:val="24"/>
          <w:szCs w:val="24"/>
        </w:rPr>
        <w:fldChar w:fldCharType="begin"/>
      </w:r>
      <w:r w:rsidR="00D757CA" w:rsidRPr="00E7121F">
        <w:rPr>
          <w:sz w:val="24"/>
          <w:szCs w:val="24"/>
        </w:rPr>
        <w:instrText xml:space="preserve"> XE "</w:instrText>
      </w:r>
      <w:r w:rsidR="00D757CA" w:rsidRPr="00E7121F">
        <w:rPr>
          <w:rFonts w:asciiTheme="minorBidi" w:hAnsiTheme="minorBidi" w:cstheme="minorBidi"/>
          <w:sz w:val="24"/>
          <w:szCs w:val="24"/>
        </w:rPr>
        <w:instrText>economic sectors</w:instrText>
      </w:r>
      <w:r w:rsidR="00D757CA" w:rsidRPr="00E7121F">
        <w:rPr>
          <w:sz w:val="24"/>
          <w:szCs w:val="24"/>
        </w:rPr>
        <w:instrText xml:space="preserve">" </w:instrText>
      </w:r>
      <w:r w:rsidR="00D757CA" w:rsidRPr="00E7121F">
        <w:rPr>
          <w:rFonts w:asciiTheme="minorBidi" w:hAnsiTheme="minorBidi" w:cstheme="minorBidi"/>
          <w:sz w:val="24"/>
          <w:szCs w:val="24"/>
        </w:rPr>
        <w:fldChar w:fldCharType="end"/>
      </w:r>
      <w:r w:rsidRPr="00E7121F">
        <w:rPr>
          <w:rFonts w:asciiTheme="minorBidi" w:hAnsiTheme="minorBidi" w:cstheme="minorBidi"/>
          <w:sz w:val="24"/>
          <w:szCs w:val="24"/>
        </w:rPr>
        <w:t xml:space="preserve"> with relatively low LTV ratios and extensive geographic diversification of pledged properties. </w:t>
      </w:r>
    </w:p>
    <w:p w14:paraId="65725B1E" w14:textId="77777777" w:rsidR="000F7CC1" w:rsidRPr="00E7121F" w:rsidRDefault="000D7EF6" w:rsidP="00214E63">
      <w:pPr>
        <w:spacing w:before="40" w:line="360" w:lineRule="auto"/>
        <w:rPr>
          <w:rFonts w:asciiTheme="minorBidi" w:hAnsiTheme="minorBidi" w:cstheme="minorBidi"/>
          <w:spacing w:val="-3"/>
          <w:sz w:val="24"/>
          <w:szCs w:val="24"/>
        </w:rPr>
      </w:pPr>
      <w:r w:rsidRPr="00E7121F">
        <w:rPr>
          <w:rFonts w:asciiTheme="minorBidi" w:hAnsiTheme="minorBidi" w:cstheme="minorBidi"/>
          <w:spacing w:val="-3"/>
          <w:sz w:val="24"/>
          <w:szCs w:val="24"/>
        </w:rPr>
        <w:t xml:space="preserve">The Bank also uses various risk mitigators, including property insurance and life insurance. </w:t>
      </w:r>
    </w:p>
    <w:p w14:paraId="6F1E85A2" w14:textId="77777777" w:rsidR="000F7CC1" w:rsidRPr="00E7121F" w:rsidRDefault="000D7EF6" w:rsidP="00214E63">
      <w:pPr>
        <w:spacing w:before="40" w:line="360" w:lineRule="auto"/>
        <w:rPr>
          <w:rFonts w:asciiTheme="minorBidi" w:hAnsiTheme="minorBidi" w:cstheme="minorBidi"/>
          <w:spacing w:val="-3"/>
          <w:sz w:val="24"/>
          <w:szCs w:val="24"/>
        </w:rPr>
      </w:pPr>
      <w:r w:rsidRPr="00E7121F">
        <w:rPr>
          <w:rFonts w:asciiTheme="minorBidi" w:hAnsiTheme="minorBidi" w:cstheme="minorBidi"/>
          <w:spacing w:val="-3"/>
          <w:sz w:val="24"/>
          <w:szCs w:val="24"/>
        </w:rPr>
        <w:t xml:space="preserve">In the first quarter of this year, key risk benchmarks remained stable: In particular: LTV ratio (original LTV ratio in the portfolio: 52.5%), repayment ratio, rate of </w:t>
      </w:r>
      <w:proofErr w:type="spellStart"/>
      <w:r w:rsidRPr="00E7121F">
        <w:rPr>
          <w:rFonts w:asciiTheme="minorBidi" w:hAnsiTheme="minorBidi" w:cstheme="minorBidi"/>
          <w:spacing w:val="-3"/>
          <w:sz w:val="24"/>
          <w:szCs w:val="24"/>
        </w:rPr>
        <w:t>obligo</w:t>
      </w:r>
      <w:proofErr w:type="spellEnd"/>
      <w:r w:rsidRPr="00E7121F">
        <w:rPr>
          <w:rFonts w:asciiTheme="minorBidi" w:hAnsiTheme="minorBidi" w:cstheme="minorBidi"/>
          <w:spacing w:val="-3"/>
          <w:sz w:val="24"/>
          <w:szCs w:val="24"/>
        </w:rPr>
        <w:t xml:space="preserve"> in default; rate of arrears for new loans (up to one year since origination). </w:t>
      </w:r>
    </w:p>
    <w:p w14:paraId="00F97BBC" w14:textId="77777777" w:rsidR="000D7EF6" w:rsidRPr="00E7121F" w:rsidRDefault="003E5407"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Furthermore, the rate of arrears for new loans (up to one year since origination) has been low in recent years.</w:t>
      </w:r>
    </w:p>
    <w:p w14:paraId="7E0C93B7"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Credit risk</w:t>
      </w:r>
      <w:r w:rsidR="00845C45" w:rsidRPr="00E7121F">
        <w:rPr>
          <w:rFonts w:asciiTheme="minorBidi" w:hAnsiTheme="minorBidi" w:cstheme="minorBidi"/>
          <w:sz w:val="24"/>
          <w:szCs w:val="24"/>
        </w:rPr>
        <w:fldChar w:fldCharType="begin"/>
      </w:r>
      <w:r w:rsidR="00845C45" w:rsidRPr="00E7121F">
        <w:rPr>
          <w:sz w:val="24"/>
          <w:szCs w:val="24"/>
        </w:rPr>
        <w:instrText xml:space="preserve"> XE "</w:instrText>
      </w:r>
      <w:r w:rsidR="00845C45" w:rsidRPr="00E7121F">
        <w:rPr>
          <w:rFonts w:asciiTheme="minorBidi" w:hAnsiTheme="minorBidi" w:cstheme="minorBidi"/>
          <w:sz w:val="24"/>
          <w:szCs w:val="24"/>
        </w:rPr>
        <w:instrText>Credit risk</w:instrText>
      </w:r>
      <w:r w:rsidR="00845C45" w:rsidRPr="00E7121F">
        <w:rPr>
          <w:sz w:val="24"/>
          <w:szCs w:val="24"/>
        </w:rPr>
        <w:instrText xml:space="preserve">" </w:instrText>
      </w:r>
      <w:r w:rsidR="00845C45" w:rsidRPr="00E7121F">
        <w:rPr>
          <w:rFonts w:asciiTheme="minorBidi" w:hAnsiTheme="minorBidi" w:cstheme="minorBidi"/>
          <w:sz w:val="24"/>
          <w:szCs w:val="24"/>
        </w:rPr>
        <w:fldChar w:fldCharType="end"/>
      </w:r>
      <w:r w:rsidRPr="00E7121F">
        <w:rPr>
          <w:rFonts w:asciiTheme="minorBidi" w:hAnsiTheme="minorBidi" w:cstheme="minorBidi"/>
          <w:sz w:val="24"/>
          <w:szCs w:val="24"/>
        </w:rPr>
        <w:t xml:space="preserve"> in the capital market is the risk of the borrower failing to meet their obligations towards the Bank, including the obligation to cover losses due to capital market activity conducted through the Bank. </w:t>
      </w:r>
    </w:p>
    <w:p w14:paraId="438BCB11" w14:textId="77777777" w:rsidR="000D7EF6"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The scope of business and risk level at the Bank in this area are low.</w:t>
      </w:r>
    </w:p>
    <w:p w14:paraId="64FA2CA8"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Loans in the micro and small business segment are a key growth engine and a component of the Bank's strategic plan. </w:t>
      </w:r>
    </w:p>
    <w:p w14:paraId="6C900EEE" w14:textId="77777777" w:rsidR="000F7CC1" w:rsidRPr="00E7121F" w:rsidRDefault="002C0B90"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This segment is highly diversified in terms of clients in various economic sectors</w:t>
      </w:r>
      <w:r w:rsidR="00D757CA" w:rsidRPr="00E7121F">
        <w:rPr>
          <w:rFonts w:asciiTheme="minorBidi" w:hAnsiTheme="minorBidi" w:cstheme="minorBidi"/>
          <w:sz w:val="24"/>
          <w:szCs w:val="24"/>
        </w:rPr>
        <w:fldChar w:fldCharType="begin"/>
      </w:r>
      <w:r w:rsidR="00D757CA" w:rsidRPr="00E7121F">
        <w:rPr>
          <w:sz w:val="24"/>
          <w:szCs w:val="24"/>
        </w:rPr>
        <w:instrText xml:space="preserve"> XE "</w:instrText>
      </w:r>
      <w:r w:rsidR="00D757CA" w:rsidRPr="00E7121F">
        <w:rPr>
          <w:rFonts w:asciiTheme="minorBidi" w:hAnsiTheme="minorBidi" w:cstheme="minorBidi"/>
          <w:sz w:val="24"/>
          <w:szCs w:val="24"/>
        </w:rPr>
        <w:instrText>economic sectors</w:instrText>
      </w:r>
      <w:r w:rsidR="00D757CA" w:rsidRPr="00E7121F">
        <w:rPr>
          <w:sz w:val="24"/>
          <w:szCs w:val="24"/>
        </w:rPr>
        <w:instrText xml:space="preserve">" </w:instrText>
      </w:r>
      <w:r w:rsidR="00D757CA" w:rsidRPr="00E7121F">
        <w:rPr>
          <w:rFonts w:asciiTheme="minorBidi" w:hAnsiTheme="minorBidi" w:cstheme="minorBidi"/>
          <w:sz w:val="24"/>
          <w:szCs w:val="24"/>
        </w:rPr>
        <w:fldChar w:fldCharType="end"/>
      </w:r>
      <w:r w:rsidRPr="00E7121F">
        <w:rPr>
          <w:rFonts w:asciiTheme="minorBidi" w:hAnsiTheme="minorBidi" w:cstheme="minorBidi"/>
          <w:sz w:val="24"/>
          <w:szCs w:val="24"/>
        </w:rPr>
        <w:t xml:space="preserve">, mostly in small industry, trade, business and financial services. </w:t>
      </w:r>
    </w:p>
    <w:p w14:paraId="6D99C1DC" w14:textId="77777777" w:rsidR="000F7CC1" w:rsidRPr="00E7121F" w:rsidRDefault="000D7EF6" w:rsidP="00214E63">
      <w:pPr>
        <w:spacing w:before="40" w:line="360" w:lineRule="auto"/>
        <w:rPr>
          <w:rFonts w:asciiTheme="minorBidi" w:hAnsiTheme="minorBidi" w:cstheme="minorBidi"/>
          <w:spacing w:val="-4"/>
          <w:sz w:val="24"/>
          <w:szCs w:val="24"/>
        </w:rPr>
      </w:pPr>
      <w:r w:rsidRPr="00E7121F">
        <w:rPr>
          <w:rFonts w:asciiTheme="minorBidi" w:hAnsiTheme="minorBidi" w:cstheme="minorBidi"/>
          <w:spacing w:val="-4"/>
          <w:sz w:val="24"/>
          <w:szCs w:val="24"/>
        </w:rPr>
        <w:lastRenderedPageBreak/>
        <w:t>Financing in the micro and small business segment is mostly provided for short terms, for current operations and for financing of working capital, covering gaps in cash flow, financing</w:t>
      </w:r>
      <w:r w:rsidRPr="00E7121F">
        <w:rPr>
          <w:rFonts w:asciiTheme="minorBidi" w:hAnsiTheme="minorBidi" w:cstheme="minorBidi"/>
          <w:spacing w:val="-4"/>
          <w:sz w:val="24"/>
          <w:szCs w:val="24"/>
        </w:rPr>
        <w:fldChar w:fldCharType="begin"/>
      </w:r>
      <w:r w:rsidRPr="00E7121F">
        <w:rPr>
          <w:rFonts w:asciiTheme="minorBidi" w:hAnsiTheme="minorBidi" w:cstheme="minorBidi"/>
          <w:spacing w:val="-4"/>
          <w:sz w:val="24"/>
          <w:szCs w:val="24"/>
        </w:rPr>
        <w:instrText xml:space="preserve"> XE "Financing" </w:instrText>
      </w:r>
      <w:r w:rsidRPr="00E7121F">
        <w:rPr>
          <w:rFonts w:asciiTheme="minorBidi" w:hAnsiTheme="minorBidi" w:cstheme="minorBidi"/>
          <w:spacing w:val="-4"/>
          <w:sz w:val="24"/>
          <w:szCs w:val="24"/>
        </w:rPr>
        <w:fldChar w:fldCharType="end"/>
      </w:r>
      <w:r w:rsidRPr="00E7121F">
        <w:rPr>
          <w:rFonts w:asciiTheme="minorBidi" w:hAnsiTheme="minorBidi" w:cstheme="minorBidi"/>
          <w:spacing w:val="-4"/>
          <w:sz w:val="24"/>
          <w:szCs w:val="24"/>
        </w:rPr>
        <w:t xml:space="preserve"> trade receivables, inventory and import activities. </w:t>
      </w:r>
    </w:p>
    <w:p w14:paraId="3EAF0970"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Such financing is provided against appropriate collateral, such as checks for collateral / checks receivable, invoices, pledging of contracts and current liens. </w:t>
      </w:r>
    </w:p>
    <w:p w14:paraId="5C09D28C"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The risk level in the credit portfolio for small and micro-businesses is constantly monitored, including use of custom credit rating models and monitoring of high-risk economic sectors</w:t>
      </w:r>
      <w:r w:rsidR="00D757CA" w:rsidRPr="00E7121F">
        <w:rPr>
          <w:rFonts w:asciiTheme="minorBidi" w:hAnsiTheme="minorBidi" w:cstheme="minorBidi"/>
          <w:sz w:val="24"/>
          <w:szCs w:val="24"/>
        </w:rPr>
        <w:fldChar w:fldCharType="begin"/>
      </w:r>
      <w:r w:rsidR="00D757CA" w:rsidRPr="00E7121F">
        <w:rPr>
          <w:sz w:val="24"/>
          <w:szCs w:val="24"/>
        </w:rPr>
        <w:instrText xml:space="preserve"> XE "</w:instrText>
      </w:r>
      <w:r w:rsidR="00D757CA" w:rsidRPr="00E7121F">
        <w:rPr>
          <w:rFonts w:asciiTheme="minorBidi" w:hAnsiTheme="minorBidi" w:cstheme="minorBidi"/>
          <w:sz w:val="24"/>
          <w:szCs w:val="24"/>
        </w:rPr>
        <w:instrText>economic sectors</w:instrText>
      </w:r>
      <w:r w:rsidR="00D757CA" w:rsidRPr="00E7121F">
        <w:rPr>
          <w:sz w:val="24"/>
          <w:szCs w:val="24"/>
        </w:rPr>
        <w:instrText xml:space="preserve">" </w:instrText>
      </w:r>
      <w:r w:rsidR="00D757CA" w:rsidRPr="00E7121F">
        <w:rPr>
          <w:rFonts w:asciiTheme="minorBidi" w:hAnsiTheme="minorBidi" w:cstheme="minorBidi"/>
          <w:sz w:val="24"/>
          <w:szCs w:val="24"/>
        </w:rPr>
        <w:fldChar w:fldCharType="end"/>
      </w:r>
      <w:r w:rsidRPr="00E7121F">
        <w:rPr>
          <w:rFonts w:asciiTheme="minorBidi" w:hAnsiTheme="minorBidi" w:cstheme="minorBidi"/>
          <w:sz w:val="24"/>
          <w:szCs w:val="24"/>
        </w:rPr>
        <w:t xml:space="preserve">. </w:t>
      </w:r>
    </w:p>
    <w:p w14:paraId="7FDF1BEC"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In the first quarter of 2019, the Bank continued development of computer-based processes for credit applications and a model to determine differential interest authorizations. </w:t>
      </w:r>
    </w:p>
    <w:p w14:paraId="2D3F2F7C"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Loans to the individual client segment are highly diversified – by number of clients and by geographic location. </w:t>
      </w:r>
    </w:p>
    <w:p w14:paraId="6C0D8089"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Most clients in this segment are salaried employees with an individual account or joint household account. </w:t>
      </w:r>
    </w:p>
    <w:p w14:paraId="5D08F577"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A recession in non-banking operations is a major risk factor for household activity and higher unemployment may increase the number of clients who face difficulties. </w:t>
      </w:r>
    </w:p>
    <w:p w14:paraId="3BBDAD13"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As from the second half of 2018, clients of the Retail Division are rated using advanced custom models. </w:t>
      </w:r>
    </w:p>
    <w:p w14:paraId="76A57962"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These models quantify the probability of default (PD) and the loss given default (LGD) for small businesses and individual clients of the Retail Division. </w:t>
      </w:r>
    </w:p>
    <w:p w14:paraId="452E8961"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Current management at the Retail Division is primarily based on the MADHOM system (for client management, rating and pricing). </w:t>
      </w:r>
    </w:p>
    <w:p w14:paraId="255933EB"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In the first quarter of 2019, the Bank continued to deploy, implement and use advanced models under development for optimal analysis and management of retail credit. </w:t>
      </w:r>
    </w:p>
    <w:p w14:paraId="6A298480"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The credit risk profile of individual clients, in view of the risk appetite determined based also on the internal model, shows a risk level which is not high and stable over time. </w:t>
      </w:r>
    </w:p>
    <w:p w14:paraId="04937B95" w14:textId="77777777" w:rsidR="009E65C1" w:rsidRDefault="009E65C1">
      <w:pPr>
        <w:spacing w:after="160" w:line="259" w:lineRule="auto"/>
        <w:ind w:left="0" w:right="0"/>
        <w:jc w:val="left"/>
        <w:rPr>
          <w:rFonts w:asciiTheme="minorBidi" w:hAnsiTheme="minorBidi" w:cstheme="minorBidi"/>
          <w:b/>
          <w:bCs/>
          <w:sz w:val="24"/>
          <w:szCs w:val="24"/>
        </w:rPr>
      </w:pPr>
      <w:r>
        <w:rPr>
          <w:rFonts w:asciiTheme="minorBidi" w:hAnsiTheme="minorBidi" w:cstheme="minorBidi"/>
          <w:b/>
          <w:bCs/>
          <w:sz w:val="24"/>
          <w:szCs w:val="24"/>
        </w:rPr>
        <w:br w:type="page"/>
      </w:r>
    </w:p>
    <w:p w14:paraId="39D02407" w14:textId="4B472CEE" w:rsidR="000D7EF6" w:rsidRPr="00E7121F" w:rsidRDefault="000D7EF6" w:rsidP="007E3899">
      <w:pPr>
        <w:spacing w:before="160" w:after="100"/>
        <w:outlineLvl w:val="2"/>
        <w:rPr>
          <w:rFonts w:asciiTheme="minorBidi" w:hAnsiTheme="minorBidi" w:cstheme="minorBidi"/>
          <w:b/>
          <w:bCs/>
          <w:sz w:val="24"/>
          <w:szCs w:val="24"/>
        </w:rPr>
      </w:pPr>
      <w:r w:rsidRPr="00E7121F">
        <w:rPr>
          <w:rFonts w:asciiTheme="minorBidi" w:hAnsiTheme="minorBidi" w:cstheme="minorBidi"/>
          <w:b/>
          <w:bCs/>
          <w:sz w:val="24"/>
          <w:szCs w:val="24"/>
        </w:rPr>
        <w:lastRenderedPageBreak/>
        <w:t>Market and interest risk</w:t>
      </w:r>
      <w:r w:rsidR="00D757CA" w:rsidRPr="00E7121F">
        <w:rPr>
          <w:rFonts w:asciiTheme="minorBidi" w:hAnsiTheme="minorBidi" w:cstheme="minorBidi"/>
          <w:b/>
          <w:bCs/>
          <w:sz w:val="24"/>
          <w:szCs w:val="24"/>
        </w:rPr>
        <w:fldChar w:fldCharType="begin"/>
      </w:r>
      <w:r w:rsidR="00D757CA" w:rsidRPr="00E7121F">
        <w:rPr>
          <w:sz w:val="24"/>
          <w:szCs w:val="24"/>
        </w:rPr>
        <w:instrText xml:space="preserve"> XE "</w:instrText>
      </w:r>
      <w:r w:rsidR="00D757CA" w:rsidRPr="00E7121F">
        <w:rPr>
          <w:rFonts w:asciiTheme="minorBidi" w:hAnsiTheme="minorBidi" w:cstheme="minorBidi"/>
          <w:sz w:val="24"/>
          <w:szCs w:val="24"/>
        </w:rPr>
        <w:instrText>interest risk</w:instrText>
      </w:r>
      <w:r w:rsidR="00D757CA" w:rsidRPr="00E7121F">
        <w:rPr>
          <w:sz w:val="24"/>
          <w:szCs w:val="24"/>
        </w:rPr>
        <w:instrText xml:space="preserve">" </w:instrText>
      </w:r>
      <w:r w:rsidR="00D757CA" w:rsidRPr="00E7121F">
        <w:rPr>
          <w:rFonts w:asciiTheme="minorBidi" w:hAnsiTheme="minorBidi" w:cstheme="minorBidi"/>
          <w:b/>
          <w:bCs/>
          <w:sz w:val="24"/>
          <w:szCs w:val="24"/>
        </w:rPr>
        <w:fldChar w:fldCharType="end"/>
      </w:r>
      <w:r w:rsidRPr="00E7121F">
        <w:rPr>
          <w:rFonts w:asciiTheme="minorBidi" w:hAnsiTheme="minorBidi" w:cstheme="minorBidi"/>
          <w:b/>
          <w:bCs/>
          <w:sz w:val="24"/>
          <w:szCs w:val="24"/>
        </w:rPr>
        <w:t xml:space="preserve"> in the bank portfolio</w:t>
      </w:r>
    </w:p>
    <w:p w14:paraId="0102FF55"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Activity in the negotiable portfolio (portfolios managed by the trading room) is low, with most of the Bank's financial activity and risk associated with the banking portfolio. </w:t>
      </w:r>
    </w:p>
    <w:p w14:paraId="6B0A0ABC"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The Bank's banking portfolio mostly includes long-term uses (mortgages), against which the Bank raises resources which may be short-term. </w:t>
      </w:r>
    </w:p>
    <w:p w14:paraId="7B4ACA9A"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The portfolio structure exposes the Bank EV to erosion in case of rising interest rates. </w:t>
      </w:r>
    </w:p>
    <w:p w14:paraId="7F4B6882"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In 2018, the Bank conducted an extensive review of the risk estimation methodology, in line with common practice for application of Basel guidelines. </w:t>
      </w:r>
    </w:p>
    <w:p w14:paraId="0AF53918"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Consequently, Bank policy, including measurement methods and the resulting risk limits, was significantly revised downwards in the first quarter of 2019, so as to more reliably reflect the interest exposure, including dynamic effects of behavioral options inherent in the mortgage portfolio and in deposits, which are dependent on interest. </w:t>
      </w:r>
    </w:p>
    <w:p w14:paraId="7C9BF68D"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In the first quarter of this year, the overall risk level remained Low-Medium (the interest risk</w:t>
      </w:r>
      <w:r w:rsidR="00D757CA" w:rsidRPr="00E7121F">
        <w:rPr>
          <w:rFonts w:asciiTheme="minorBidi" w:hAnsiTheme="minorBidi" w:cstheme="minorBidi"/>
          <w:sz w:val="24"/>
          <w:szCs w:val="24"/>
        </w:rPr>
        <w:fldChar w:fldCharType="begin"/>
      </w:r>
      <w:r w:rsidR="00D757CA" w:rsidRPr="00E7121F">
        <w:rPr>
          <w:sz w:val="24"/>
          <w:szCs w:val="24"/>
        </w:rPr>
        <w:instrText xml:space="preserve"> XE "</w:instrText>
      </w:r>
      <w:r w:rsidR="00D757CA" w:rsidRPr="00E7121F">
        <w:rPr>
          <w:rFonts w:asciiTheme="minorBidi" w:hAnsiTheme="minorBidi" w:cstheme="minorBidi"/>
          <w:sz w:val="24"/>
          <w:szCs w:val="24"/>
        </w:rPr>
        <w:instrText>interest risk</w:instrText>
      </w:r>
      <w:r w:rsidR="00D757CA" w:rsidRPr="00E7121F">
        <w:rPr>
          <w:sz w:val="24"/>
          <w:szCs w:val="24"/>
        </w:rPr>
        <w:instrText xml:space="preserve">" </w:instrText>
      </w:r>
      <w:r w:rsidR="00D757CA" w:rsidRPr="00E7121F">
        <w:rPr>
          <w:rFonts w:asciiTheme="minorBidi" w:hAnsiTheme="minorBidi" w:cstheme="minorBidi"/>
          <w:sz w:val="24"/>
          <w:szCs w:val="24"/>
        </w:rPr>
        <w:fldChar w:fldCharType="end"/>
      </w:r>
      <w:r w:rsidRPr="00E7121F">
        <w:rPr>
          <w:rFonts w:asciiTheme="minorBidi" w:hAnsiTheme="minorBidi" w:cstheme="minorBidi"/>
          <w:sz w:val="24"/>
          <w:szCs w:val="24"/>
        </w:rPr>
        <w:t xml:space="preserve"> level remained Medium). </w:t>
      </w:r>
    </w:p>
    <w:p w14:paraId="064E7F34" w14:textId="77777777" w:rsidR="000F7CC1" w:rsidRPr="00E7121F" w:rsidRDefault="000D7EF6" w:rsidP="00214E63">
      <w:pPr>
        <w:spacing w:before="40" w:line="360" w:lineRule="auto"/>
        <w:rPr>
          <w:rFonts w:asciiTheme="minorBidi" w:hAnsiTheme="minorBidi" w:cstheme="minorBidi"/>
          <w:sz w:val="24"/>
          <w:szCs w:val="24"/>
        </w:rPr>
      </w:pPr>
      <w:r w:rsidRPr="00E7121F">
        <w:rPr>
          <w:rFonts w:asciiTheme="minorBidi" w:hAnsiTheme="minorBidi" w:cstheme="minorBidi"/>
          <w:sz w:val="24"/>
          <w:szCs w:val="24"/>
        </w:rPr>
        <w:t xml:space="preserve">Risk benchmark values were calculated in conformity with the revision to the methodology in the policy and were in line with limits imposed by management and by the Board of Directors. </w:t>
      </w:r>
    </w:p>
    <w:p w14:paraId="0C72AAA9" w14:textId="77777777" w:rsidR="000D7EF6" w:rsidRPr="00E7121F" w:rsidRDefault="000D7EF6" w:rsidP="00214E63">
      <w:pPr>
        <w:spacing w:before="40" w:line="360" w:lineRule="auto"/>
        <w:rPr>
          <w:rFonts w:asciiTheme="minorBidi" w:hAnsiTheme="minorBidi" w:cstheme="minorBidi"/>
          <w:spacing w:val="-4"/>
          <w:sz w:val="24"/>
          <w:szCs w:val="24"/>
        </w:rPr>
      </w:pPr>
      <w:r w:rsidRPr="00E7121F">
        <w:rPr>
          <w:rFonts w:asciiTheme="minorBidi" w:hAnsiTheme="minorBidi" w:cstheme="minorBidi"/>
          <w:sz w:val="24"/>
          <w:szCs w:val="24"/>
        </w:rPr>
        <w:t xml:space="preserve">In the normal course of business, risk values (such as </w:t>
      </w:r>
      <w:proofErr w:type="spellStart"/>
      <w:r w:rsidRPr="00E7121F">
        <w:rPr>
          <w:rFonts w:asciiTheme="minorBidi" w:hAnsiTheme="minorBidi" w:cstheme="minorBidi"/>
          <w:sz w:val="24"/>
          <w:szCs w:val="24"/>
        </w:rPr>
        <w:t>VaR</w:t>
      </w:r>
      <w:proofErr w:type="spellEnd"/>
      <w:r w:rsidRPr="00E7121F">
        <w:rPr>
          <w:rFonts w:asciiTheme="minorBidi" w:hAnsiTheme="minorBidi" w:cstheme="minorBidi"/>
          <w:sz w:val="24"/>
          <w:szCs w:val="24"/>
        </w:rPr>
        <w:t xml:space="preserve">) ranged at relatively low risk levels and risk values under </w:t>
      </w:r>
      <w:r w:rsidRPr="00E7121F">
        <w:rPr>
          <w:rFonts w:asciiTheme="minorBidi" w:hAnsiTheme="minorBidi" w:cstheme="minorBidi"/>
          <w:spacing w:val="-4"/>
          <w:sz w:val="24"/>
          <w:szCs w:val="24"/>
        </w:rPr>
        <w:t>stress scenarios, which reflect extreme concurrent increase in interest rates, are lower than the current risk appetite specified.</w:t>
      </w:r>
    </w:p>
    <w:p w14:paraId="6A7C1338" w14:textId="77777777" w:rsidR="009E65C1" w:rsidRDefault="009E65C1">
      <w:pPr>
        <w:spacing w:after="160" w:line="259" w:lineRule="auto"/>
        <w:ind w:left="0" w:right="0"/>
        <w:jc w:val="left"/>
        <w:rPr>
          <w:rFonts w:asciiTheme="minorBidi" w:hAnsiTheme="minorBidi" w:cstheme="minorBidi"/>
          <w:b/>
          <w:bCs/>
          <w:sz w:val="24"/>
          <w:szCs w:val="24"/>
        </w:rPr>
      </w:pPr>
      <w:r>
        <w:rPr>
          <w:rFonts w:asciiTheme="minorBidi" w:hAnsiTheme="minorBidi" w:cstheme="minorBidi"/>
          <w:b/>
          <w:bCs/>
          <w:sz w:val="24"/>
          <w:szCs w:val="24"/>
        </w:rPr>
        <w:br w:type="page"/>
      </w:r>
    </w:p>
    <w:p w14:paraId="2609D4C9" w14:textId="28F8C3CB" w:rsidR="000D7EF6" w:rsidRPr="00E7121F" w:rsidRDefault="000D7EF6" w:rsidP="007E3899">
      <w:pPr>
        <w:spacing w:before="140" w:after="100"/>
        <w:outlineLvl w:val="2"/>
        <w:rPr>
          <w:rFonts w:asciiTheme="minorBidi" w:hAnsiTheme="minorBidi" w:cstheme="minorBidi"/>
          <w:b/>
          <w:bCs/>
          <w:sz w:val="24"/>
          <w:szCs w:val="24"/>
        </w:rPr>
      </w:pPr>
      <w:r w:rsidRPr="00E7121F">
        <w:rPr>
          <w:rFonts w:asciiTheme="minorBidi" w:hAnsiTheme="minorBidi" w:cstheme="minorBidi"/>
          <w:b/>
          <w:bCs/>
          <w:sz w:val="24"/>
          <w:szCs w:val="24"/>
        </w:rPr>
        <w:lastRenderedPageBreak/>
        <w:t>Liquidity risk</w:t>
      </w:r>
    </w:p>
    <w:p w14:paraId="6234F01E" w14:textId="77777777" w:rsidR="000F7CC1" w:rsidRPr="00E7121F" w:rsidRDefault="000D7EF6" w:rsidP="00214E63">
      <w:pPr>
        <w:spacing w:before="40" w:line="360" w:lineRule="auto"/>
        <w:jc w:val="left"/>
        <w:rPr>
          <w:rFonts w:asciiTheme="minorBidi" w:hAnsiTheme="minorBidi" w:cstheme="minorBidi"/>
          <w:sz w:val="24"/>
          <w:szCs w:val="24"/>
        </w:rPr>
      </w:pPr>
      <w:r w:rsidRPr="00E7121F">
        <w:rPr>
          <w:rFonts w:asciiTheme="minorBidi" w:hAnsiTheme="minorBidi" w:cstheme="minorBidi"/>
          <w:sz w:val="24"/>
          <w:szCs w:val="24"/>
        </w:rPr>
        <w:t xml:space="preserve">In the first quarter of 2019, the Bank maintained appropriate liquidity by investing excess liquidity in liquid assets of very high quality. </w:t>
      </w:r>
    </w:p>
    <w:p w14:paraId="23ECAB95" w14:textId="77777777" w:rsidR="000F7CC1" w:rsidRPr="00E7121F" w:rsidRDefault="000D7EF6" w:rsidP="00214E63">
      <w:pPr>
        <w:spacing w:before="40" w:line="360" w:lineRule="auto"/>
        <w:jc w:val="left"/>
        <w:rPr>
          <w:rFonts w:asciiTheme="minorBidi" w:hAnsiTheme="minorBidi" w:cstheme="minorBidi"/>
          <w:sz w:val="24"/>
          <w:szCs w:val="24"/>
        </w:rPr>
      </w:pPr>
      <w:r w:rsidRPr="00E7121F">
        <w:rPr>
          <w:rFonts w:asciiTheme="minorBidi" w:hAnsiTheme="minorBidi" w:cstheme="minorBidi"/>
          <w:sz w:val="24"/>
          <w:szCs w:val="24"/>
        </w:rPr>
        <w:t xml:space="preserve">The average (consolidated) liquidity coverage ratio for the first quarter of 2019 was 120%. </w:t>
      </w:r>
    </w:p>
    <w:p w14:paraId="497F3032" w14:textId="77777777" w:rsidR="000F7CC1" w:rsidRPr="00E7121F" w:rsidRDefault="000D7EF6" w:rsidP="00214E63">
      <w:pPr>
        <w:spacing w:before="40" w:line="360" w:lineRule="auto"/>
        <w:jc w:val="left"/>
        <w:rPr>
          <w:rFonts w:asciiTheme="minorBidi" w:eastAsia="Calibri" w:hAnsiTheme="minorBidi" w:cstheme="minorBidi"/>
          <w:sz w:val="24"/>
          <w:szCs w:val="24"/>
        </w:rPr>
      </w:pPr>
      <w:r w:rsidRPr="00E7121F">
        <w:rPr>
          <w:rFonts w:asciiTheme="minorBidi" w:hAnsiTheme="minorBidi" w:cstheme="minorBidi"/>
          <w:sz w:val="24"/>
          <w:szCs w:val="24"/>
        </w:rPr>
        <w:t xml:space="preserve">In this quarter, there were no exceptions from the risk appetite limits and concentration benchmarks, and there were no material unusual events. </w:t>
      </w:r>
    </w:p>
    <w:p w14:paraId="2F68C96E" w14:textId="77777777" w:rsidR="000F7CC1" w:rsidRPr="00E7121F" w:rsidRDefault="00BC0689" w:rsidP="00214E63">
      <w:pPr>
        <w:spacing w:before="40" w:line="360" w:lineRule="auto"/>
        <w:jc w:val="left"/>
        <w:rPr>
          <w:rFonts w:asciiTheme="minorBidi" w:eastAsia="Calibri" w:hAnsiTheme="minorBidi" w:cstheme="minorBidi"/>
          <w:spacing w:val="-2"/>
          <w:sz w:val="24"/>
          <w:szCs w:val="24"/>
        </w:rPr>
      </w:pPr>
      <w:r w:rsidRPr="00E7121F">
        <w:rPr>
          <w:rFonts w:asciiTheme="minorBidi" w:hAnsiTheme="minorBidi" w:cstheme="minorBidi"/>
          <w:spacing w:val="-2"/>
          <w:sz w:val="24"/>
          <w:szCs w:val="24"/>
        </w:rPr>
        <w:t xml:space="preserve">Note that in March 2019, the Bank raised its state of alert to Elevated Alert, due to tensions around Gaza and in the South. </w:t>
      </w:r>
    </w:p>
    <w:p w14:paraId="62043D94" w14:textId="77777777" w:rsidR="000F7CC1" w:rsidRPr="00E7121F" w:rsidRDefault="00BC0689" w:rsidP="00214E63">
      <w:pPr>
        <w:spacing w:before="40" w:line="360" w:lineRule="auto"/>
        <w:jc w:val="left"/>
        <w:rPr>
          <w:rFonts w:asciiTheme="minorBidi" w:eastAsia="Calibri" w:hAnsiTheme="minorBidi" w:cstheme="minorBidi"/>
          <w:sz w:val="24"/>
          <w:szCs w:val="24"/>
        </w:rPr>
      </w:pPr>
      <w:r w:rsidRPr="00E7121F">
        <w:rPr>
          <w:rFonts w:asciiTheme="minorBidi" w:hAnsiTheme="minorBidi" w:cstheme="minorBidi"/>
          <w:sz w:val="24"/>
          <w:szCs w:val="24"/>
        </w:rPr>
        <w:t xml:space="preserve">In practice, no events and/or indications were observed which would indicate realization of a liquidity event. </w:t>
      </w:r>
    </w:p>
    <w:p w14:paraId="4582D127" w14:textId="0CFC5CE3" w:rsidR="0035220B" w:rsidRPr="00E7121F" w:rsidRDefault="00BC0689" w:rsidP="00807F0E">
      <w:pPr>
        <w:spacing w:before="40" w:line="360" w:lineRule="auto"/>
        <w:jc w:val="left"/>
        <w:rPr>
          <w:rFonts w:asciiTheme="minorBidi" w:hAnsiTheme="minorBidi" w:cstheme="minorBidi"/>
          <w:b/>
          <w:bCs/>
          <w:sz w:val="24"/>
          <w:szCs w:val="24"/>
        </w:rPr>
      </w:pPr>
      <w:r w:rsidRPr="00E7121F">
        <w:rPr>
          <w:rFonts w:asciiTheme="minorBidi" w:hAnsiTheme="minorBidi" w:cstheme="minorBidi"/>
          <w:sz w:val="24"/>
          <w:szCs w:val="24"/>
        </w:rPr>
        <w:t xml:space="preserve">In early April 2019, after return to normal conditions, the Bank decided to return to the normal course of business. </w:t>
      </w:r>
      <w:r w:rsidR="00535E12" w:rsidRPr="00E7121F">
        <w:rPr>
          <w:rFonts w:asciiTheme="minorBidi" w:hAnsiTheme="minorBidi" w:cstheme="minorBidi"/>
          <w:sz w:val="24"/>
          <w:szCs w:val="24"/>
        </w:rPr>
        <w:br/>
        <w:t>The following chart includes probability of risk:</w:t>
      </w:r>
      <w:r w:rsidR="004E357F">
        <w:rPr>
          <w:rFonts w:asciiTheme="minorBidi" w:hAnsiTheme="minorBidi" w:cstheme="minorBidi"/>
          <w:sz w:val="24"/>
          <w:szCs w:val="24"/>
        </w:rPr>
        <w:br/>
      </w:r>
    </w:p>
    <w:p w14:paraId="469EA347" w14:textId="77777777" w:rsidR="00E61EDB" w:rsidRPr="00DC4370" w:rsidRDefault="00DC4370" w:rsidP="00807F0E">
      <w:pPr>
        <w:spacing w:before="40"/>
        <w:jc w:val="center"/>
        <w:rPr>
          <w:rFonts w:asciiTheme="minorBidi" w:hAnsiTheme="minorBidi" w:cstheme="minorBidi"/>
          <w:szCs w:val="18"/>
        </w:rPr>
      </w:pPr>
      <w:r>
        <w:rPr>
          <w:rFonts w:asciiTheme="minorBidi" w:hAnsiTheme="minorBidi" w:cstheme="minorBidi"/>
          <w:b/>
          <w:bCs/>
          <w:noProof/>
          <w:szCs w:val="18"/>
        </w:rPr>
        <w:drawing>
          <wp:inline distT="0" distB="0" distL="0" distR="0" wp14:anchorId="76F6E00D" wp14:editId="553A6E33">
            <wp:extent cx="4563573" cy="2743200"/>
            <wp:effectExtent l="0" t="0" r="8890" b="0"/>
            <wp:docPr id="2" name="תמונה 2" descr="Probability Chart&#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תמונה 2" descr="Probability Chart&#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78541" cy="2812308"/>
                    </a:xfrm>
                    <a:prstGeom prst="rect">
                      <a:avLst/>
                    </a:prstGeom>
                    <a:noFill/>
                  </pic:spPr>
                </pic:pic>
              </a:graphicData>
            </a:graphic>
          </wp:inline>
        </w:drawing>
      </w:r>
      <w:r w:rsidR="00E61EDB">
        <w:rPr>
          <w:rFonts w:asciiTheme="minorBidi" w:hAnsiTheme="minorBidi" w:cstheme="minorBidi"/>
          <w:b/>
          <w:bCs/>
          <w:szCs w:val="18"/>
        </w:rPr>
        <w:br w:type="page"/>
      </w:r>
    </w:p>
    <w:p w14:paraId="4EEABA07" w14:textId="77777777" w:rsidR="000D7EF6" w:rsidRPr="00854183" w:rsidRDefault="000D7EF6" w:rsidP="007E3899">
      <w:pPr>
        <w:spacing w:before="140" w:after="100" w:line="360" w:lineRule="auto"/>
        <w:jc w:val="left"/>
        <w:outlineLvl w:val="2"/>
        <w:rPr>
          <w:rFonts w:asciiTheme="minorBidi" w:hAnsiTheme="minorBidi" w:cstheme="minorBidi"/>
          <w:b/>
          <w:bCs/>
          <w:sz w:val="24"/>
          <w:szCs w:val="24"/>
        </w:rPr>
      </w:pPr>
      <w:r w:rsidRPr="00854183">
        <w:rPr>
          <w:rFonts w:asciiTheme="minorBidi" w:hAnsiTheme="minorBidi" w:cstheme="minorBidi"/>
          <w:b/>
          <w:bCs/>
          <w:sz w:val="24"/>
          <w:szCs w:val="24"/>
        </w:rPr>
        <w:lastRenderedPageBreak/>
        <w:t>Operational risk</w:t>
      </w:r>
      <w:r w:rsidR="005A7B9C" w:rsidRPr="00854183">
        <w:rPr>
          <w:rFonts w:asciiTheme="minorBidi" w:hAnsiTheme="minorBidi" w:cstheme="minorBidi"/>
          <w:b/>
          <w:bCs/>
          <w:sz w:val="24"/>
          <w:szCs w:val="24"/>
        </w:rPr>
        <w:fldChar w:fldCharType="begin"/>
      </w:r>
      <w:r w:rsidR="005A7B9C" w:rsidRPr="00854183">
        <w:rPr>
          <w:rFonts w:asciiTheme="minorBidi" w:hAnsiTheme="minorBidi" w:cstheme="minorBidi"/>
          <w:sz w:val="24"/>
          <w:szCs w:val="24"/>
        </w:rPr>
        <w:instrText xml:space="preserve"> XE "Operational risk" </w:instrText>
      </w:r>
      <w:r w:rsidR="005A7B9C" w:rsidRPr="00854183">
        <w:rPr>
          <w:rFonts w:asciiTheme="minorBidi" w:hAnsiTheme="minorBidi" w:cstheme="minorBidi"/>
          <w:b/>
          <w:bCs/>
          <w:sz w:val="24"/>
          <w:szCs w:val="24"/>
        </w:rPr>
        <w:fldChar w:fldCharType="end"/>
      </w:r>
    </w:p>
    <w:p w14:paraId="1DEF7337" w14:textId="77777777" w:rsidR="000F7CC1" w:rsidRPr="00854183" w:rsidRDefault="000D7EF6" w:rsidP="00D04314">
      <w:pPr>
        <w:spacing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In the first quarter of this year, operational risk remained Medium. </w:t>
      </w:r>
    </w:p>
    <w:p w14:paraId="0623C233" w14:textId="77777777" w:rsidR="000F7CC1" w:rsidRPr="00854183" w:rsidRDefault="000D7EF6" w:rsidP="00D04314">
      <w:pPr>
        <w:spacing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There were no material operational events, and the risk level reflects the potential damage that may be caused by materialization of operational risks. </w:t>
      </w:r>
    </w:p>
    <w:p w14:paraId="24DDE15E" w14:textId="77777777" w:rsidR="000F7CC1" w:rsidRPr="00854183" w:rsidRDefault="000D7EF6" w:rsidP="00D04314">
      <w:pPr>
        <w:spacing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Activity continued to improve monitoring, management and control of operational risks, with emphasis on upgrading the IT system for management of risks surveys and further activity to identify, analyze and enhance awareness of the various operational risks. </w:t>
      </w:r>
    </w:p>
    <w:p w14:paraId="6F1B8785" w14:textId="77777777" w:rsidR="000D7EF6" w:rsidRPr="00854183" w:rsidRDefault="000D7EF6" w:rsidP="007E3899">
      <w:pPr>
        <w:spacing w:before="140" w:after="100" w:line="360" w:lineRule="auto"/>
        <w:jc w:val="left"/>
        <w:outlineLvl w:val="2"/>
        <w:rPr>
          <w:rFonts w:asciiTheme="minorBidi" w:hAnsiTheme="minorBidi" w:cstheme="minorBidi"/>
          <w:b/>
          <w:bCs/>
          <w:sz w:val="24"/>
          <w:szCs w:val="24"/>
        </w:rPr>
      </w:pPr>
      <w:r w:rsidRPr="00854183">
        <w:rPr>
          <w:rFonts w:asciiTheme="minorBidi" w:hAnsiTheme="minorBidi" w:cstheme="minorBidi"/>
          <w:b/>
          <w:bCs/>
          <w:sz w:val="24"/>
          <w:szCs w:val="24"/>
        </w:rPr>
        <w:t>Business continuity</w:t>
      </w:r>
    </w:p>
    <w:p w14:paraId="0E2AF840" w14:textId="77777777" w:rsidR="000F7CC1" w:rsidRPr="00854183" w:rsidRDefault="000D7EF6" w:rsidP="00D04314">
      <w:pPr>
        <w:spacing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The Bank applies Proper Conduct of Banking Business Directive 355 concerning "Management of business continuity". </w:t>
      </w:r>
    </w:p>
    <w:p w14:paraId="21825757" w14:textId="77777777" w:rsidR="000F7CC1" w:rsidRPr="00854183" w:rsidRDefault="000D7EF6" w:rsidP="00D04314">
      <w:pPr>
        <w:spacing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In the first quarter of 2019, the Bank continued to operate in conformity with the work plan. </w:t>
      </w:r>
    </w:p>
    <w:p w14:paraId="205D5EE7" w14:textId="77777777" w:rsidR="000F7CC1" w:rsidRPr="00854183" w:rsidRDefault="000D7EF6" w:rsidP="00D04314">
      <w:pPr>
        <w:spacing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A periodic questionnaire was launched to review the integrity and currency of the branch emergency file, emergency procedures were revised and branch operation using power generators was exercised. </w:t>
      </w:r>
    </w:p>
    <w:p w14:paraId="390E8388" w14:textId="77777777" w:rsidR="000D7EF6" w:rsidRPr="00854183" w:rsidRDefault="000D7EF6" w:rsidP="00D04314">
      <w:pPr>
        <w:spacing w:line="360" w:lineRule="auto"/>
        <w:jc w:val="left"/>
        <w:rPr>
          <w:rFonts w:asciiTheme="minorBidi" w:hAnsiTheme="minorBidi" w:cstheme="minorBidi"/>
          <w:sz w:val="24"/>
          <w:szCs w:val="24"/>
        </w:rPr>
      </w:pPr>
      <w:r w:rsidRPr="00854183">
        <w:rPr>
          <w:rFonts w:asciiTheme="minorBidi" w:hAnsiTheme="minorBidi" w:cstheme="minorBidi"/>
          <w:sz w:val="24"/>
          <w:szCs w:val="24"/>
        </w:rPr>
        <w:t>Concurrently, the list of services under Business Impact Analysis (BIA) were reviewed and planning of the major annual drill were started.</w:t>
      </w:r>
    </w:p>
    <w:p w14:paraId="7CD8DA69" w14:textId="77777777" w:rsidR="000D7EF6" w:rsidRPr="00854183" w:rsidRDefault="000D7EF6" w:rsidP="007E3899">
      <w:pPr>
        <w:spacing w:before="140" w:after="100" w:line="360" w:lineRule="auto"/>
        <w:jc w:val="left"/>
        <w:outlineLvl w:val="2"/>
        <w:rPr>
          <w:rFonts w:asciiTheme="minorBidi" w:hAnsiTheme="minorBidi" w:cstheme="minorBidi"/>
          <w:b/>
          <w:bCs/>
          <w:sz w:val="24"/>
          <w:szCs w:val="24"/>
        </w:rPr>
      </w:pPr>
      <w:r w:rsidRPr="00854183">
        <w:rPr>
          <w:rFonts w:asciiTheme="minorBidi" w:hAnsiTheme="minorBidi" w:cstheme="minorBidi"/>
          <w:b/>
          <w:bCs/>
          <w:sz w:val="24"/>
          <w:szCs w:val="24"/>
        </w:rPr>
        <w:t>Information security and cyber security</w:t>
      </w:r>
    </w:p>
    <w:p w14:paraId="263FDE77" w14:textId="77777777" w:rsidR="000F7CC1" w:rsidRPr="00854183" w:rsidRDefault="000D7EF6" w:rsidP="00D04314">
      <w:pPr>
        <w:spacing w:before="40"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In the first quarter of 2019, the risk level remained Medium. </w:t>
      </w:r>
    </w:p>
    <w:p w14:paraId="7B46397E" w14:textId="77777777" w:rsidR="000F7CC1" w:rsidRPr="00854183" w:rsidRDefault="003E5407" w:rsidP="00D04314">
      <w:pPr>
        <w:spacing w:before="40"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In this quarter, a small number of </w:t>
      </w:r>
      <w:proofErr w:type="gramStart"/>
      <w:r w:rsidRPr="00854183">
        <w:rPr>
          <w:rFonts w:asciiTheme="minorBidi" w:hAnsiTheme="minorBidi" w:cstheme="minorBidi"/>
          <w:sz w:val="24"/>
          <w:szCs w:val="24"/>
        </w:rPr>
        <w:t>fraud</w:t>
      </w:r>
      <w:proofErr w:type="gramEnd"/>
      <w:r w:rsidRPr="00854183">
        <w:rPr>
          <w:rFonts w:asciiTheme="minorBidi" w:hAnsiTheme="minorBidi" w:cstheme="minorBidi"/>
          <w:sz w:val="24"/>
          <w:szCs w:val="24"/>
        </w:rPr>
        <w:t xml:space="preserve"> attempts against clients were identified (through fishing attacks), which resulted in stealing their account credentials in order to conduct unauthorized transactions in their accounts. </w:t>
      </w:r>
    </w:p>
    <w:p w14:paraId="501894CD" w14:textId="77777777" w:rsidR="000F7CC1" w:rsidRPr="00854183" w:rsidRDefault="000D7EF6" w:rsidP="00D04314">
      <w:pPr>
        <w:spacing w:before="40"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Most of these attempts to conduct unauthorized transactions were identified and blocked by the defense systems applied by the Bank to protect its client accounts. </w:t>
      </w:r>
    </w:p>
    <w:p w14:paraId="5A116A64" w14:textId="77777777" w:rsidR="000D7EF6" w:rsidRPr="00854183" w:rsidRDefault="000D7EF6" w:rsidP="00D04314">
      <w:pPr>
        <w:spacing w:before="40" w:line="360" w:lineRule="auto"/>
        <w:jc w:val="left"/>
        <w:rPr>
          <w:rFonts w:asciiTheme="minorBidi" w:hAnsiTheme="minorBidi" w:cstheme="minorBidi"/>
          <w:sz w:val="24"/>
          <w:szCs w:val="24"/>
          <w:rtl/>
        </w:rPr>
      </w:pPr>
    </w:p>
    <w:p w14:paraId="692B6A13" w14:textId="77777777" w:rsidR="000F7CC1" w:rsidRPr="00854183" w:rsidRDefault="000D7EF6" w:rsidP="00D04314">
      <w:pPr>
        <w:spacing w:before="40"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Concurrently, towards the end of this quarter the Bank reinforced the defense mechanisms applied in Bank systems, in order to further limit the ability to </w:t>
      </w:r>
      <w:proofErr w:type="spellStart"/>
      <w:r w:rsidRPr="00854183">
        <w:rPr>
          <w:rFonts w:asciiTheme="minorBidi" w:hAnsiTheme="minorBidi" w:cstheme="minorBidi"/>
          <w:sz w:val="24"/>
          <w:szCs w:val="24"/>
        </w:rPr>
        <w:t>defraus</w:t>
      </w:r>
      <w:proofErr w:type="spellEnd"/>
      <w:r w:rsidRPr="00854183">
        <w:rPr>
          <w:rFonts w:asciiTheme="minorBidi" w:hAnsiTheme="minorBidi" w:cstheme="minorBidi"/>
          <w:sz w:val="24"/>
          <w:szCs w:val="24"/>
        </w:rPr>
        <w:t xml:space="preserve"> clients </w:t>
      </w:r>
      <w:r w:rsidRPr="00854183">
        <w:rPr>
          <w:rFonts w:asciiTheme="minorBidi" w:hAnsiTheme="minorBidi" w:cstheme="minorBidi"/>
          <w:sz w:val="24"/>
          <w:szCs w:val="24"/>
        </w:rPr>
        <w:lastRenderedPageBreak/>
        <w:t xml:space="preserve">and to conduct un-authorized transactions in client accounts. </w:t>
      </w:r>
      <w:r w:rsidR="00D04314">
        <w:rPr>
          <w:rFonts w:asciiTheme="minorBidi" w:hAnsiTheme="minorBidi" w:cstheme="minorBidi"/>
          <w:sz w:val="24"/>
          <w:szCs w:val="24"/>
        </w:rPr>
        <w:br/>
      </w:r>
      <w:r w:rsidR="00D04314">
        <w:rPr>
          <w:rFonts w:asciiTheme="minorBidi" w:hAnsiTheme="minorBidi" w:cstheme="minorBidi"/>
          <w:sz w:val="24"/>
          <w:szCs w:val="24"/>
        </w:rPr>
        <w:br/>
      </w:r>
    </w:p>
    <w:p w14:paraId="41913C62" w14:textId="77777777" w:rsidR="000D7EF6" w:rsidRPr="00854183" w:rsidRDefault="000D7EF6" w:rsidP="007E3899">
      <w:pPr>
        <w:spacing w:before="140" w:after="100" w:line="360" w:lineRule="auto"/>
        <w:jc w:val="left"/>
        <w:outlineLvl w:val="2"/>
        <w:rPr>
          <w:rFonts w:asciiTheme="minorBidi" w:hAnsiTheme="minorBidi" w:cstheme="minorBidi"/>
          <w:b/>
          <w:bCs/>
          <w:sz w:val="24"/>
          <w:szCs w:val="24"/>
        </w:rPr>
      </w:pPr>
      <w:r w:rsidRPr="00854183">
        <w:rPr>
          <w:rFonts w:asciiTheme="minorBidi" w:hAnsiTheme="minorBidi" w:cstheme="minorBidi"/>
          <w:b/>
          <w:bCs/>
          <w:sz w:val="24"/>
          <w:szCs w:val="24"/>
        </w:rPr>
        <w:t>Compliance risk</w:t>
      </w:r>
    </w:p>
    <w:p w14:paraId="7BC66180" w14:textId="77777777" w:rsidR="000F7CC1" w:rsidRPr="00854183" w:rsidRDefault="000D7EF6" w:rsidP="00D04314">
      <w:pPr>
        <w:spacing w:before="40"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Compliance risk remained unchanged at Low-Medium. The Bank believes the risk is trending downwards due, </w:t>
      </w:r>
      <w:r w:rsidRPr="00884C64">
        <w:rPr>
          <w:rFonts w:asciiTheme="minorBidi" w:hAnsiTheme="minorBidi" w:cstheme="minorBidi"/>
          <w:sz w:val="24"/>
          <w:szCs w:val="24"/>
        </w:rPr>
        <w:t>inter alia</w:t>
      </w:r>
      <w:r w:rsidRPr="00854183">
        <w:rPr>
          <w:rFonts w:asciiTheme="minorBidi" w:hAnsiTheme="minorBidi" w:cstheme="minorBidi"/>
          <w:sz w:val="24"/>
          <w:szCs w:val="24"/>
        </w:rPr>
        <w:t xml:space="preserve">, to continued addressing of risks rated high and to further enhancement of controls and training and further streamlining of work processes in this area and measures taken to improve interfaces between units. </w:t>
      </w:r>
    </w:p>
    <w:p w14:paraId="04976CE8" w14:textId="77777777" w:rsidR="000D7EF6" w:rsidRPr="00854183" w:rsidRDefault="000D7EF6" w:rsidP="00D04314">
      <w:pPr>
        <w:spacing w:before="40" w:line="360" w:lineRule="auto"/>
        <w:jc w:val="left"/>
        <w:rPr>
          <w:rFonts w:asciiTheme="minorBidi" w:hAnsiTheme="minorBidi" w:cstheme="minorBidi"/>
          <w:sz w:val="24"/>
          <w:szCs w:val="24"/>
        </w:rPr>
      </w:pPr>
      <w:r w:rsidRPr="00854183">
        <w:rPr>
          <w:rFonts w:asciiTheme="minorBidi" w:hAnsiTheme="minorBidi" w:cstheme="minorBidi"/>
          <w:sz w:val="24"/>
          <w:szCs w:val="24"/>
        </w:rPr>
        <w:t xml:space="preserve">This is in view of further increased regulatory activity reflected, </w:t>
      </w:r>
      <w:r w:rsidRPr="00884C64">
        <w:rPr>
          <w:rFonts w:asciiTheme="minorBidi" w:hAnsiTheme="minorBidi" w:cstheme="minorBidi"/>
          <w:sz w:val="24"/>
          <w:szCs w:val="24"/>
        </w:rPr>
        <w:t>inter alia</w:t>
      </w:r>
      <w:r w:rsidRPr="00854183">
        <w:rPr>
          <w:rFonts w:asciiTheme="minorBidi" w:hAnsiTheme="minorBidi" w:cstheme="minorBidi"/>
          <w:sz w:val="24"/>
          <w:szCs w:val="24"/>
        </w:rPr>
        <w:t>, in new directives being issued frequently, which the Bank is preparing for.</w:t>
      </w:r>
    </w:p>
    <w:p w14:paraId="4039A812" w14:textId="77777777" w:rsidR="00FC7886" w:rsidRPr="007E3899" w:rsidRDefault="00FC7886" w:rsidP="007E3899">
      <w:pPr>
        <w:pStyle w:val="12-"/>
        <w:spacing w:before="240" w:after="200" w:line="360" w:lineRule="auto"/>
        <w:ind w:left="-100"/>
        <w:outlineLvl w:val="1"/>
        <w:rPr>
          <w:noProof w:val="0"/>
          <w:color w:val="BE5611"/>
          <w:sz w:val="28"/>
          <w:szCs w:val="28"/>
          <w:lang w:eastAsia="en-US"/>
        </w:rPr>
      </w:pPr>
      <w:bookmarkStart w:id="7" w:name="_Toc9187305"/>
      <w:r w:rsidRPr="007E3899">
        <w:rPr>
          <w:noProof w:val="0"/>
          <w:color w:val="BE5611"/>
          <w:sz w:val="28"/>
          <w:szCs w:val="28"/>
          <w:lang w:eastAsia="en-US"/>
        </w:rPr>
        <w:t>Key and emerging risks</w:t>
      </w:r>
      <w:bookmarkEnd w:id="7"/>
    </w:p>
    <w:p w14:paraId="7EF17F52" w14:textId="77777777" w:rsidR="00FC7886" w:rsidRPr="00201D08" w:rsidRDefault="00A67C69" w:rsidP="00A47FAA">
      <w:pPr>
        <w:spacing w:line="360" w:lineRule="auto"/>
        <w:jc w:val="left"/>
        <w:rPr>
          <w:rFonts w:asciiTheme="minorBidi" w:hAnsiTheme="minorBidi" w:cstheme="minorBidi"/>
          <w:sz w:val="24"/>
          <w:szCs w:val="24"/>
        </w:rPr>
      </w:pPr>
      <w:r w:rsidRPr="00201D08">
        <w:rPr>
          <w:rFonts w:asciiTheme="minorBidi" w:hAnsiTheme="minorBidi" w:cstheme="minorBidi"/>
          <w:sz w:val="24"/>
          <w:szCs w:val="24"/>
        </w:rPr>
        <w:t>Bank business exposes it to various financial and non-financial risks, which may impact the Bank's business results and reputation.</w:t>
      </w:r>
    </w:p>
    <w:p w14:paraId="11AE6341" w14:textId="77777777" w:rsidR="000F7CC1" w:rsidRPr="00201D08" w:rsidRDefault="00FC7886"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t xml:space="preserve">In the risk identification and mapping process, the Bank reviews all of its risk exposures. </w:t>
      </w:r>
    </w:p>
    <w:p w14:paraId="6A226ED5" w14:textId="77777777" w:rsidR="000F7CC1" w:rsidRPr="00201D08" w:rsidRDefault="00FC7886"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t xml:space="preserve">Top risks, existing (or new) risks which may materialize over the coming 12 months which potentially may materially impact the Bank's financial results and stability (such as: credit, interest and liquidity risks). </w:t>
      </w:r>
    </w:p>
    <w:p w14:paraId="4602C063" w14:textId="77777777" w:rsidR="000F7CC1" w:rsidRPr="00201D08" w:rsidRDefault="00FC7886"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t xml:space="preserve">The Bank also identifies emerging risks, which may materialize over the longer term and subject to uncertainty with regard to their nature and impact on the Bank. </w:t>
      </w:r>
    </w:p>
    <w:p w14:paraId="729B7C17" w14:textId="77777777" w:rsidR="000F7CC1" w:rsidRPr="00201D08" w:rsidRDefault="00FC7886"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t xml:space="preserve">Of these risks, one may note the following: information security and cyber risk, IT risk and reputation risk. </w:t>
      </w:r>
    </w:p>
    <w:p w14:paraId="51F46E4C" w14:textId="77777777" w:rsidR="00FC7886" w:rsidRPr="00201D08" w:rsidRDefault="00FC7886"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t>As noted, the risks mapping is regularly reviewed to ensure that it encompasses all business operations at the Bank, market conditions and regulatory requirements.</w:t>
      </w:r>
    </w:p>
    <w:p w14:paraId="293841D6" w14:textId="77777777" w:rsidR="000F7CC1" w:rsidRPr="00201D08" w:rsidRDefault="00F66BF7"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t>The Bank continues to upgrade the framework for handling "emerging" risks, such as compliance and regulatory risk</w:t>
      </w:r>
      <w:r w:rsidR="00845C45" w:rsidRPr="00201D08">
        <w:rPr>
          <w:rFonts w:asciiTheme="minorBidi" w:hAnsiTheme="minorBidi" w:cstheme="minorBidi"/>
          <w:sz w:val="24"/>
          <w:szCs w:val="24"/>
        </w:rPr>
        <w:fldChar w:fldCharType="begin"/>
      </w:r>
      <w:r w:rsidR="00845C45" w:rsidRPr="00201D08">
        <w:rPr>
          <w:sz w:val="24"/>
          <w:szCs w:val="24"/>
        </w:rPr>
        <w:instrText xml:space="preserve"> XE "</w:instrText>
      </w:r>
      <w:r w:rsidR="00845C45" w:rsidRPr="00201D08">
        <w:rPr>
          <w:rFonts w:asciiTheme="minorBidi" w:hAnsiTheme="minorBidi" w:cstheme="minorBidi"/>
          <w:sz w:val="24"/>
          <w:szCs w:val="24"/>
        </w:rPr>
        <w:instrText>compliance and regulatory risk</w:instrText>
      </w:r>
      <w:r w:rsidR="00845C45" w:rsidRPr="00201D08">
        <w:rPr>
          <w:sz w:val="24"/>
          <w:szCs w:val="24"/>
        </w:rPr>
        <w:instrText xml:space="preserve">" </w:instrText>
      </w:r>
      <w:r w:rsidR="00845C45" w:rsidRPr="00201D08">
        <w:rPr>
          <w:rFonts w:asciiTheme="minorBidi" w:hAnsiTheme="minorBidi" w:cstheme="minorBidi"/>
          <w:sz w:val="24"/>
          <w:szCs w:val="24"/>
        </w:rPr>
        <w:fldChar w:fldCharType="end"/>
      </w:r>
      <w:r w:rsidRPr="00201D08">
        <w:rPr>
          <w:rFonts w:asciiTheme="minorBidi" w:hAnsiTheme="minorBidi" w:cstheme="minorBidi"/>
          <w:sz w:val="24"/>
          <w:szCs w:val="24"/>
        </w:rPr>
        <w:t>, AML</w:t>
      </w:r>
      <w:r w:rsidR="00845C45" w:rsidRPr="00201D08">
        <w:rPr>
          <w:rFonts w:asciiTheme="minorBidi" w:hAnsiTheme="minorBidi" w:cstheme="minorBidi"/>
          <w:sz w:val="24"/>
          <w:szCs w:val="24"/>
        </w:rPr>
        <w:fldChar w:fldCharType="begin"/>
      </w:r>
      <w:r w:rsidR="00845C45" w:rsidRPr="00201D08">
        <w:rPr>
          <w:sz w:val="24"/>
          <w:szCs w:val="24"/>
        </w:rPr>
        <w:instrText xml:space="preserve"> XE "</w:instrText>
      </w:r>
      <w:r w:rsidR="00845C45" w:rsidRPr="00201D08">
        <w:rPr>
          <w:rFonts w:asciiTheme="minorBidi" w:hAnsiTheme="minorBidi" w:cstheme="minorBidi"/>
          <w:sz w:val="24"/>
          <w:szCs w:val="24"/>
        </w:rPr>
        <w:instrText>AML</w:instrText>
      </w:r>
      <w:r w:rsidR="00845C45" w:rsidRPr="00201D08">
        <w:rPr>
          <w:sz w:val="24"/>
          <w:szCs w:val="24"/>
        </w:rPr>
        <w:instrText xml:space="preserve">" </w:instrText>
      </w:r>
      <w:r w:rsidR="00845C45" w:rsidRPr="00201D08">
        <w:rPr>
          <w:rFonts w:asciiTheme="minorBidi" w:hAnsiTheme="minorBidi" w:cstheme="minorBidi"/>
          <w:sz w:val="24"/>
          <w:szCs w:val="24"/>
        </w:rPr>
        <w:fldChar w:fldCharType="end"/>
      </w:r>
      <w:r w:rsidRPr="00201D08">
        <w:rPr>
          <w:rFonts w:asciiTheme="minorBidi" w:hAnsiTheme="minorBidi" w:cstheme="minorBidi"/>
          <w:sz w:val="24"/>
          <w:szCs w:val="24"/>
        </w:rPr>
        <w:t xml:space="preserve"> risk</w:t>
      </w:r>
      <w:r w:rsidR="001848FF" w:rsidRPr="00201D08">
        <w:rPr>
          <w:rFonts w:asciiTheme="minorBidi" w:hAnsiTheme="minorBidi" w:cstheme="minorBidi"/>
          <w:sz w:val="24"/>
          <w:szCs w:val="24"/>
        </w:rPr>
        <w:fldChar w:fldCharType="begin"/>
      </w:r>
      <w:r w:rsidR="001848FF" w:rsidRPr="00201D08">
        <w:rPr>
          <w:rFonts w:asciiTheme="minorBidi" w:hAnsiTheme="minorBidi" w:cstheme="minorBidi"/>
          <w:sz w:val="24"/>
          <w:szCs w:val="24"/>
        </w:rPr>
        <w:instrText xml:space="preserve"> XE "Capital" </w:instrText>
      </w:r>
      <w:r w:rsidR="001848FF" w:rsidRPr="00201D08">
        <w:rPr>
          <w:rFonts w:asciiTheme="minorBidi" w:hAnsiTheme="minorBidi" w:cstheme="minorBidi"/>
          <w:sz w:val="24"/>
          <w:szCs w:val="24"/>
        </w:rPr>
        <w:fldChar w:fldCharType="end"/>
      </w:r>
      <w:r w:rsidRPr="00201D08">
        <w:rPr>
          <w:rFonts w:asciiTheme="minorBidi" w:hAnsiTheme="minorBidi" w:cstheme="minorBidi"/>
          <w:sz w:val="24"/>
          <w:szCs w:val="24"/>
        </w:rPr>
        <w:t xml:space="preserve"> and cross-border risk – while allocating the required resources for addressing these risks. </w:t>
      </w:r>
    </w:p>
    <w:p w14:paraId="6E427B9E" w14:textId="77777777" w:rsidR="000F7CC1" w:rsidRPr="00201D08" w:rsidRDefault="00F66BF7"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lastRenderedPageBreak/>
        <w:t xml:space="preserve">Note that the Bank has zero appetite for non-compliance with applicable regulatory directives of the Bank of Israel. </w:t>
      </w:r>
    </w:p>
    <w:p w14:paraId="078D442E" w14:textId="77777777" w:rsidR="00F66BF7" w:rsidRPr="00201D08" w:rsidRDefault="00F66BF7" w:rsidP="00A47FAA">
      <w:pPr>
        <w:spacing w:before="40" w:line="360" w:lineRule="auto"/>
        <w:jc w:val="left"/>
        <w:rPr>
          <w:rFonts w:asciiTheme="minorBidi" w:hAnsiTheme="minorBidi" w:cstheme="minorBidi"/>
          <w:sz w:val="24"/>
          <w:szCs w:val="24"/>
        </w:rPr>
      </w:pPr>
      <w:r w:rsidRPr="00201D08">
        <w:rPr>
          <w:rFonts w:asciiTheme="minorBidi" w:hAnsiTheme="minorBidi" w:cstheme="minorBidi"/>
          <w:sz w:val="24"/>
          <w:szCs w:val="24"/>
        </w:rPr>
        <w:t>Bank operations with regard to these risks are primarily qualitative actions designed to create the required framework for addressing these emerging risks.</w:t>
      </w:r>
    </w:p>
    <w:p w14:paraId="517D3BDA" w14:textId="77777777" w:rsidR="001D1E95" w:rsidRDefault="001D1E95" w:rsidP="00A47FAA">
      <w:pPr>
        <w:pStyle w:val="12-"/>
        <w:spacing w:line="360" w:lineRule="auto"/>
        <w:ind w:left="-100"/>
        <w:jc w:val="left"/>
        <w:outlineLvl w:val="9"/>
      </w:pPr>
    </w:p>
    <w:p w14:paraId="4C6DFB4D" w14:textId="77777777" w:rsidR="004B331F" w:rsidRPr="00F6277F" w:rsidRDefault="004B331F" w:rsidP="00F6277F">
      <w:pPr>
        <w:tabs>
          <w:tab w:val="left" w:pos="5895"/>
          <w:tab w:val="left" w:pos="7027"/>
          <w:tab w:val="left" w:pos="8189"/>
        </w:tabs>
        <w:spacing w:before="40"/>
        <w:ind w:left="0"/>
        <w:jc w:val="left"/>
        <w:rPr>
          <w:rFonts w:asciiTheme="minorBidi" w:eastAsia="Joker" w:hAnsiTheme="minorBidi" w:cstheme="minorBidi"/>
          <w:b/>
          <w:bCs/>
          <w:sz w:val="21"/>
          <w:szCs w:val="21"/>
        </w:rPr>
      </w:pPr>
      <w:bookmarkStart w:id="8" w:name="_Toc433799930"/>
      <w:bookmarkStart w:id="9" w:name="_Toc512430219"/>
      <w:r w:rsidRPr="00F6277F">
        <w:rPr>
          <w:rFonts w:asciiTheme="minorBidi" w:hAnsiTheme="minorBidi" w:cstheme="minorBidi"/>
        </w:rPr>
        <w:br w:type="page"/>
      </w:r>
    </w:p>
    <w:p w14:paraId="324EA266" w14:textId="77777777" w:rsidR="00FC7886" w:rsidRPr="00917646" w:rsidRDefault="00FC7886" w:rsidP="007E3899">
      <w:pPr>
        <w:spacing w:before="140" w:after="100" w:line="360" w:lineRule="auto"/>
        <w:jc w:val="left"/>
        <w:outlineLvl w:val="2"/>
        <w:rPr>
          <w:rFonts w:asciiTheme="minorBidi" w:hAnsiTheme="minorBidi" w:cstheme="minorBidi"/>
          <w:b/>
          <w:bCs/>
          <w:sz w:val="24"/>
          <w:szCs w:val="24"/>
        </w:rPr>
      </w:pPr>
      <w:bookmarkStart w:id="10" w:name="_Toc9187310"/>
      <w:r w:rsidRPr="00917646">
        <w:rPr>
          <w:rFonts w:asciiTheme="minorBidi" w:hAnsiTheme="minorBidi" w:cstheme="minorBidi"/>
          <w:b/>
          <w:bCs/>
          <w:sz w:val="24"/>
          <w:szCs w:val="24"/>
        </w:rPr>
        <w:lastRenderedPageBreak/>
        <w:t>Credit risk</w:t>
      </w:r>
      <w:bookmarkEnd w:id="8"/>
      <w:bookmarkEnd w:id="9"/>
      <w:bookmarkEnd w:id="10"/>
      <w:r w:rsidRPr="00917646">
        <w:rPr>
          <w:rFonts w:asciiTheme="minorBidi" w:hAnsiTheme="minorBidi" w:cstheme="minorBidi"/>
          <w:b/>
          <w:bCs/>
          <w:sz w:val="24"/>
          <w:szCs w:val="24"/>
        </w:rPr>
        <w:fldChar w:fldCharType="begin"/>
      </w:r>
      <w:r w:rsidRPr="00917646">
        <w:rPr>
          <w:rFonts w:asciiTheme="minorBidi" w:hAnsiTheme="minorBidi" w:cstheme="minorBidi"/>
          <w:b/>
          <w:bCs/>
          <w:sz w:val="24"/>
          <w:szCs w:val="24"/>
        </w:rPr>
        <w:instrText xml:space="preserve"> XE "Credit risk" </w:instrText>
      </w:r>
      <w:r w:rsidRPr="00917646">
        <w:rPr>
          <w:rFonts w:asciiTheme="minorBidi" w:hAnsiTheme="minorBidi" w:cstheme="minorBidi"/>
          <w:b/>
          <w:bCs/>
          <w:sz w:val="24"/>
          <w:szCs w:val="24"/>
        </w:rPr>
        <w:fldChar w:fldCharType="end"/>
      </w:r>
    </w:p>
    <w:p w14:paraId="0DB8EC57" w14:textId="77777777" w:rsidR="00FC7886" w:rsidRPr="00466F32" w:rsidRDefault="00FC7886" w:rsidP="00F6277F">
      <w:pPr>
        <w:tabs>
          <w:tab w:val="left" w:pos="363"/>
        </w:tabs>
        <w:spacing w:before="40"/>
        <w:rPr>
          <w:rFonts w:asciiTheme="minorBidi" w:hAnsiTheme="minorBidi" w:cstheme="minorBidi"/>
          <w:sz w:val="12"/>
          <w:szCs w:val="17"/>
          <w:rtl/>
        </w:rPr>
      </w:pPr>
    </w:p>
    <w:p w14:paraId="0A4F6B73" w14:textId="77777777" w:rsidR="00FC7886" w:rsidRPr="00201D08" w:rsidRDefault="00FC7886" w:rsidP="00A47FAA">
      <w:pPr>
        <w:spacing w:before="40" w:line="360" w:lineRule="auto"/>
        <w:jc w:val="left"/>
        <w:rPr>
          <w:rFonts w:asciiTheme="minorBidi" w:hAnsiTheme="minorBidi" w:cstheme="minorBidi"/>
          <w:color w:val="auto"/>
          <w:spacing w:val="-4"/>
          <w:sz w:val="24"/>
          <w:szCs w:val="24"/>
        </w:rPr>
      </w:pPr>
      <w:r w:rsidRPr="00201D08">
        <w:rPr>
          <w:rFonts w:asciiTheme="minorBidi" w:hAnsiTheme="minorBidi" w:cstheme="minorBidi"/>
          <w:color w:val="auto"/>
          <w:spacing w:val="-4"/>
          <w:sz w:val="24"/>
          <w:szCs w:val="24"/>
        </w:rPr>
        <w:t>This chapter discusses credit risk, in conformity with disclosure requirements of the Basel Committee and the FSB; the chapter structure and topic order (adjusted for the nature of Bank operations) are also in conformity with these requirements.</w:t>
      </w:r>
    </w:p>
    <w:p w14:paraId="23D9C3D7" w14:textId="77777777" w:rsidR="000F7CC1" w:rsidRPr="00201D08" w:rsidRDefault="00FC7886" w:rsidP="00A47FAA">
      <w:pPr>
        <w:spacing w:before="40" w:line="360" w:lineRule="auto"/>
        <w:jc w:val="left"/>
        <w:rPr>
          <w:rFonts w:asciiTheme="minorBidi" w:hAnsiTheme="minorBidi" w:cstheme="minorBidi"/>
          <w:color w:val="auto"/>
          <w:sz w:val="24"/>
          <w:szCs w:val="24"/>
        </w:rPr>
      </w:pPr>
      <w:r w:rsidRPr="00201D08">
        <w:rPr>
          <w:rFonts w:asciiTheme="minorBidi" w:hAnsiTheme="minorBidi" w:cstheme="minorBidi"/>
          <w:sz w:val="24"/>
          <w:szCs w:val="24"/>
        </w:rPr>
        <w:t>The chapter "Counter party credit risk</w:t>
      </w:r>
      <w:r w:rsidRPr="00201D08">
        <w:rPr>
          <w:rFonts w:asciiTheme="minorBidi" w:hAnsiTheme="minorBidi" w:cstheme="minorBidi"/>
          <w:color w:val="auto"/>
          <w:sz w:val="24"/>
          <w:szCs w:val="24"/>
        </w:rPr>
        <w:fldChar w:fldCharType="begin"/>
      </w:r>
      <w:r w:rsidRPr="00201D08">
        <w:rPr>
          <w:rFonts w:asciiTheme="minorBidi" w:hAnsiTheme="minorBidi" w:cstheme="minorBidi"/>
          <w:sz w:val="24"/>
          <w:szCs w:val="24"/>
        </w:rPr>
        <w:instrText xml:space="preserve"> XE "Credit risk" </w:instrText>
      </w:r>
      <w:r w:rsidRPr="00201D08">
        <w:rPr>
          <w:rFonts w:asciiTheme="minorBidi" w:hAnsiTheme="minorBidi" w:cstheme="minorBidi"/>
          <w:color w:val="auto"/>
          <w:sz w:val="24"/>
          <w:szCs w:val="24"/>
        </w:rPr>
        <w:fldChar w:fldCharType="end"/>
      </w:r>
      <w:r w:rsidRPr="00201D08">
        <w:rPr>
          <w:rFonts w:asciiTheme="minorBidi" w:hAnsiTheme="minorBidi" w:cstheme="minorBidi"/>
          <w:sz w:val="24"/>
          <w:szCs w:val="24"/>
        </w:rPr>
        <w:t>" below includes qualitative and quantitative disclosures about the capital requirement with respect to this risk and adjustment to capital requirements with respect to credit risk (CVA).</w:t>
      </w:r>
      <w:r w:rsidRPr="00201D08">
        <w:rPr>
          <w:rFonts w:asciiTheme="minorBidi" w:hAnsiTheme="minorBidi" w:cstheme="minorBidi"/>
          <w:color w:val="auto"/>
          <w:sz w:val="24"/>
          <w:szCs w:val="24"/>
        </w:rPr>
        <w:t xml:space="preserve"> </w:t>
      </w:r>
    </w:p>
    <w:p w14:paraId="743AD742" w14:textId="77777777" w:rsidR="000F7CC1" w:rsidRPr="00201D08" w:rsidRDefault="00FC7886" w:rsidP="00A47FAA">
      <w:pPr>
        <w:tabs>
          <w:tab w:val="left" w:pos="907"/>
        </w:tabs>
        <w:spacing w:before="40" w:line="360" w:lineRule="auto"/>
        <w:jc w:val="left"/>
        <w:rPr>
          <w:rFonts w:asciiTheme="minorBidi" w:hAnsiTheme="minorBidi" w:cstheme="minorBidi"/>
          <w:color w:val="auto"/>
          <w:sz w:val="24"/>
          <w:szCs w:val="24"/>
        </w:rPr>
      </w:pPr>
      <w:bookmarkStart w:id="11" w:name="_Toc512430220"/>
      <w:r w:rsidRPr="00201D08">
        <w:rPr>
          <w:rFonts w:asciiTheme="minorBidi" w:hAnsiTheme="minorBidi" w:cstheme="minorBidi"/>
          <w:sz w:val="24"/>
          <w:szCs w:val="24"/>
        </w:rPr>
        <w:t>Credit risk</w:t>
      </w:r>
      <w:r w:rsidRPr="00201D08">
        <w:rPr>
          <w:rFonts w:asciiTheme="minorBidi" w:hAnsiTheme="minorBidi" w:cstheme="minorBidi"/>
          <w:color w:val="auto"/>
          <w:sz w:val="24"/>
          <w:szCs w:val="24"/>
        </w:rPr>
        <w:fldChar w:fldCharType="begin"/>
      </w:r>
      <w:r w:rsidRPr="00201D08">
        <w:rPr>
          <w:rFonts w:asciiTheme="minorBidi" w:hAnsiTheme="minorBidi" w:cstheme="minorBidi"/>
          <w:sz w:val="24"/>
          <w:szCs w:val="24"/>
        </w:rPr>
        <w:instrText xml:space="preserve"> XE "Credit risk" </w:instrText>
      </w:r>
      <w:r w:rsidRPr="00201D08">
        <w:rPr>
          <w:rFonts w:asciiTheme="minorBidi" w:hAnsiTheme="minorBidi" w:cstheme="minorBidi"/>
          <w:color w:val="auto"/>
          <w:sz w:val="24"/>
          <w:szCs w:val="24"/>
        </w:rPr>
        <w:fldChar w:fldCharType="end"/>
      </w:r>
      <w:r w:rsidRPr="00201D08">
        <w:rPr>
          <w:rFonts w:asciiTheme="minorBidi" w:hAnsiTheme="minorBidi" w:cstheme="minorBidi"/>
          <w:sz w:val="24"/>
          <w:szCs w:val="24"/>
        </w:rPr>
        <w:t xml:space="preserve"> is the risk that a borrower or counter-party of the Bank would not fulfill its obligations towards the Bank.</w:t>
      </w:r>
      <w:r w:rsidRPr="00201D08">
        <w:rPr>
          <w:rFonts w:asciiTheme="minorBidi" w:hAnsiTheme="minorBidi" w:cstheme="minorBidi"/>
          <w:color w:val="auto"/>
          <w:sz w:val="24"/>
          <w:szCs w:val="24"/>
        </w:rPr>
        <w:t xml:space="preserve"> </w:t>
      </w:r>
    </w:p>
    <w:p w14:paraId="1060FC1C" w14:textId="77777777" w:rsidR="000F7CC1" w:rsidRPr="00201D08" w:rsidRDefault="00FC7886" w:rsidP="00A47FAA">
      <w:pPr>
        <w:tabs>
          <w:tab w:val="left" w:pos="907"/>
        </w:tabs>
        <w:spacing w:before="40" w:line="360" w:lineRule="auto"/>
        <w:jc w:val="left"/>
        <w:rPr>
          <w:rFonts w:asciiTheme="minorBidi" w:hAnsiTheme="minorBidi" w:cstheme="minorBidi"/>
          <w:color w:val="auto"/>
          <w:sz w:val="24"/>
          <w:szCs w:val="24"/>
        </w:rPr>
      </w:pPr>
      <w:r w:rsidRPr="00201D08">
        <w:rPr>
          <w:rFonts w:asciiTheme="minorBidi" w:hAnsiTheme="minorBidi" w:cstheme="minorBidi"/>
          <w:color w:val="auto"/>
          <w:sz w:val="24"/>
          <w:szCs w:val="24"/>
        </w:rPr>
        <w:t>Credit risk</w:t>
      </w:r>
      <w:r w:rsidR="00845C45" w:rsidRPr="00201D08">
        <w:rPr>
          <w:rFonts w:asciiTheme="minorBidi" w:hAnsiTheme="minorBidi" w:cstheme="minorBidi"/>
          <w:color w:val="auto"/>
          <w:sz w:val="24"/>
          <w:szCs w:val="24"/>
        </w:rPr>
        <w:fldChar w:fldCharType="begin"/>
      </w:r>
      <w:r w:rsidR="00845C45" w:rsidRPr="00201D08">
        <w:rPr>
          <w:sz w:val="24"/>
          <w:szCs w:val="24"/>
        </w:rPr>
        <w:instrText xml:space="preserve"> XE "</w:instrText>
      </w:r>
      <w:r w:rsidR="00845C45" w:rsidRPr="00201D08">
        <w:rPr>
          <w:rFonts w:asciiTheme="minorBidi" w:hAnsiTheme="minorBidi" w:cstheme="minorBidi"/>
          <w:sz w:val="24"/>
          <w:szCs w:val="24"/>
        </w:rPr>
        <w:instrText>Credit risk</w:instrText>
      </w:r>
      <w:r w:rsidR="00845C45" w:rsidRPr="00201D08">
        <w:rPr>
          <w:sz w:val="24"/>
          <w:szCs w:val="24"/>
        </w:rPr>
        <w:instrText xml:space="preserve">" </w:instrText>
      </w:r>
      <w:r w:rsidR="00845C45" w:rsidRPr="00201D08">
        <w:rPr>
          <w:rFonts w:asciiTheme="minorBidi" w:hAnsiTheme="minorBidi" w:cstheme="minorBidi"/>
          <w:color w:val="auto"/>
          <w:sz w:val="24"/>
          <w:szCs w:val="24"/>
        </w:rPr>
        <w:fldChar w:fldCharType="end"/>
      </w:r>
      <w:r w:rsidRPr="00201D08">
        <w:rPr>
          <w:rFonts w:asciiTheme="minorBidi" w:hAnsiTheme="minorBidi" w:cstheme="minorBidi"/>
          <w:color w:val="auto"/>
          <w:sz w:val="24"/>
          <w:szCs w:val="24"/>
        </w:rPr>
        <w:t xml:space="preserve"> is a material risk to Bank operations. </w:t>
      </w:r>
    </w:p>
    <w:p w14:paraId="73B47ED5" w14:textId="57C55CEA" w:rsidR="000F7CC1" w:rsidRPr="00201D08" w:rsidRDefault="00FC7886" w:rsidP="00A47FAA">
      <w:pPr>
        <w:tabs>
          <w:tab w:val="left" w:pos="907"/>
        </w:tabs>
        <w:spacing w:before="40" w:line="360" w:lineRule="auto"/>
        <w:jc w:val="left"/>
        <w:rPr>
          <w:rFonts w:asciiTheme="minorBidi" w:hAnsiTheme="minorBidi" w:cstheme="minorBidi"/>
          <w:color w:val="auto"/>
          <w:sz w:val="24"/>
          <w:szCs w:val="24"/>
        </w:rPr>
      </w:pPr>
      <w:r w:rsidRPr="00201D08">
        <w:rPr>
          <w:rFonts w:asciiTheme="minorBidi" w:hAnsiTheme="minorBidi" w:cstheme="minorBidi"/>
          <w:color w:val="auto"/>
          <w:sz w:val="24"/>
          <w:szCs w:val="24"/>
        </w:rPr>
        <w:t>This risk is affected by multiple factors: Business risk due to client activities, concentration risk due to over-exposure to a borrower / borrower group and to economic sectors</w:t>
      </w:r>
      <w:r w:rsidR="00D757CA" w:rsidRPr="00201D08">
        <w:rPr>
          <w:rFonts w:asciiTheme="minorBidi" w:hAnsiTheme="minorBidi" w:cstheme="minorBidi"/>
          <w:color w:val="auto"/>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economic sectors</w:instrText>
      </w:r>
      <w:r w:rsidR="00D757CA" w:rsidRPr="00201D08">
        <w:rPr>
          <w:sz w:val="24"/>
          <w:szCs w:val="24"/>
        </w:rPr>
        <w:instrText xml:space="preserve">" </w:instrText>
      </w:r>
      <w:r w:rsidR="00D757CA" w:rsidRPr="00201D08">
        <w:rPr>
          <w:rFonts w:asciiTheme="minorBidi" w:hAnsiTheme="minorBidi" w:cstheme="minorBidi"/>
          <w:color w:val="auto"/>
          <w:sz w:val="24"/>
          <w:szCs w:val="24"/>
        </w:rPr>
        <w:fldChar w:fldCharType="end"/>
      </w:r>
      <w:r w:rsidRPr="00201D08">
        <w:rPr>
          <w:rFonts w:asciiTheme="minorBidi" w:hAnsiTheme="minorBidi" w:cstheme="minorBidi"/>
          <w:color w:val="auto"/>
          <w:sz w:val="24"/>
          <w:szCs w:val="24"/>
        </w:rPr>
        <w:t xml:space="preserve">, geographic concentration risk, risk due to exogenous changes which mostly involve changes to the borrower's macro-economic environment, overseas credit risks and operational risks which, should they materialize, would have implications for credit risks. </w:t>
      </w:r>
      <w:r w:rsidR="00BE47B0">
        <w:rPr>
          <w:rFonts w:asciiTheme="minorBidi" w:hAnsiTheme="minorBidi" w:cstheme="minorBidi"/>
          <w:color w:val="auto"/>
          <w:sz w:val="24"/>
          <w:szCs w:val="24"/>
        </w:rPr>
        <w:t xml:space="preserve">. All credit risks does not refer to tax issues including </w:t>
      </w:r>
      <w:r w:rsidR="007E3899">
        <w:rPr>
          <w:rFonts w:asciiTheme="minorBidi" w:hAnsiTheme="minorBidi" w:cstheme="minorBidi"/>
          <w:color w:val="auto"/>
          <w:sz w:val="24"/>
          <w:szCs w:val="24"/>
          <w:highlight w:val="yellow"/>
        </w:rPr>
        <w:t xml:space="preserve">Value Added </w:t>
      </w:r>
      <w:proofErr w:type="gramStart"/>
      <w:r w:rsidR="007E3899">
        <w:rPr>
          <w:rFonts w:asciiTheme="minorBidi" w:hAnsiTheme="minorBidi" w:cstheme="minorBidi"/>
          <w:color w:val="auto"/>
          <w:sz w:val="24"/>
          <w:szCs w:val="24"/>
          <w:highlight w:val="yellow"/>
        </w:rPr>
        <w:t xml:space="preserve">Tax </w:t>
      </w:r>
      <w:r w:rsidR="00BE47B0">
        <w:rPr>
          <w:rFonts w:asciiTheme="minorBidi" w:hAnsiTheme="minorBidi" w:cstheme="minorBidi"/>
          <w:color w:val="auto"/>
          <w:sz w:val="24"/>
          <w:szCs w:val="24"/>
        </w:rPr>
        <w:t>.</w:t>
      </w:r>
      <w:proofErr w:type="gramEnd"/>
    </w:p>
    <w:p w14:paraId="6E72A836" w14:textId="77777777" w:rsidR="00FC7886" w:rsidRPr="00201D08" w:rsidRDefault="00FC7886" w:rsidP="00A47FAA">
      <w:pPr>
        <w:tabs>
          <w:tab w:val="left" w:pos="907"/>
        </w:tabs>
        <w:spacing w:before="40" w:line="360" w:lineRule="auto"/>
        <w:jc w:val="left"/>
        <w:rPr>
          <w:rFonts w:asciiTheme="minorBidi" w:hAnsiTheme="minorBidi" w:cstheme="minorBidi"/>
          <w:color w:val="auto"/>
          <w:sz w:val="24"/>
          <w:szCs w:val="24"/>
        </w:rPr>
      </w:pPr>
      <w:r w:rsidRPr="00201D08">
        <w:rPr>
          <w:rFonts w:asciiTheme="minorBidi" w:hAnsiTheme="minorBidi" w:cstheme="minorBidi"/>
          <w:color w:val="auto"/>
          <w:sz w:val="24"/>
          <w:szCs w:val="24"/>
        </w:rPr>
        <w:t>Moreover, such risk is interrelated to multiple other risks, such as market and interest risk</w:t>
      </w:r>
      <w:r w:rsidR="00D757CA" w:rsidRPr="00201D08">
        <w:rPr>
          <w:rFonts w:asciiTheme="minorBidi" w:hAnsiTheme="minorBidi" w:cstheme="minorBidi"/>
          <w:color w:val="auto"/>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interest risk</w:instrText>
      </w:r>
      <w:r w:rsidR="00D757CA" w:rsidRPr="00201D08">
        <w:rPr>
          <w:sz w:val="24"/>
          <w:szCs w:val="24"/>
        </w:rPr>
        <w:instrText xml:space="preserve">" </w:instrText>
      </w:r>
      <w:r w:rsidR="00D757CA" w:rsidRPr="00201D08">
        <w:rPr>
          <w:rFonts w:asciiTheme="minorBidi" w:hAnsiTheme="minorBidi" w:cstheme="minorBidi"/>
          <w:color w:val="auto"/>
          <w:sz w:val="24"/>
          <w:szCs w:val="24"/>
        </w:rPr>
        <w:fldChar w:fldCharType="end"/>
      </w:r>
      <w:r w:rsidRPr="00201D08">
        <w:rPr>
          <w:rFonts w:asciiTheme="minorBidi" w:hAnsiTheme="minorBidi" w:cstheme="minorBidi"/>
          <w:color w:val="auto"/>
          <w:sz w:val="24"/>
          <w:szCs w:val="24"/>
        </w:rPr>
        <w:t>, liquidity risk</w:t>
      </w:r>
      <w:r w:rsidR="00D757CA" w:rsidRPr="00201D08">
        <w:rPr>
          <w:rFonts w:asciiTheme="minorBidi" w:hAnsiTheme="minorBidi" w:cstheme="minorBidi"/>
          <w:color w:val="auto"/>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liquidity risk</w:instrText>
      </w:r>
      <w:r w:rsidR="00D757CA" w:rsidRPr="00201D08">
        <w:rPr>
          <w:sz w:val="24"/>
          <w:szCs w:val="24"/>
        </w:rPr>
        <w:instrText xml:space="preserve">" </w:instrText>
      </w:r>
      <w:r w:rsidR="00D757CA" w:rsidRPr="00201D08">
        <w:rPr>
          <w:rFonts w:asciiTheme="minorBidi" w:hAnsiTheme="minorBidi" w:cstheme="minorBidi"/>
          <w:color w:val="auto"/>
          <w:sz w:val="24"/>
          <w:szCs w:val="24"/>
        </w:rPr>
        <w:fldChar w:fldCharType="end"/>
      </w:r>
      <w:r w:rsidRPr="00201D08">
        <w:rPr>
          <w:rFonts w:asciiTheme="minorBidi" w:hAnsiTheme="minorBidi" w:cstheme="minorBidi"/>
          <w:color w:val="auto"/>
          <w:sz w:val="24"/>
          <w:szCs w:val="24"/>
        </w:rPr>
        <w:t>, compliance risks and other risks.</w:t>
      </w:r>
    </w:p>
    <w:p w14:paraId="3FAC231E" w14:textId="77777777" w:rsidR="000F7CC1" w:rsidRPr="00201D08" w:rsidRDefault="00FC7886" w:rsidP="00A47FAA">
      <w:pPr>
        <w:tabs>
          <w:tab w:val="left" w:pos="907"/>
        </w:tabs>
        <w:spacing w:before="40" w:line="360" w:lineRule="auto"/>
        <w:jc w:val="left"/>
        <w:rPr>
          <w:rFonts w:asciiTheme="minorBidi" w:hAnsiTheme="minorBidi" w:cstheme="minorBidi"/>
          <w:color w:val="auto"/>
          <w:spacing w:val="-2"/>
          <w:sz w:val="24"/>
          <w:szCs w:val="24"/>
        </w:rPr>
      </w:pPr>
      <w:r w:rsidRPr="00201D08">
        <w:rPr>
          <w:rFonts w:asciiTheme="minorBidi" w:hAnsiTheme="minorBidi" w:cstheme="minorBidi"/>
          <w:color w:val="auto"/>
          <w:spacing w:val="-2"/>
          <w:sz w:val="24"/>
          <w:szCs w:val="24"/>
        </w:rPr>
        <w:t xml:space="preserve">Credit is at the core of banking operations and therefore, credit risk is the major risk addressed by the banking system. </w:t>
      </w:r>
    </w:p>
    <w:p w14:paraId="49CC0758" w14:textId="77777777" w:rsidR="00FC7886" w:rsidRPr="00201D08" w:rsidRDefault="00FC7886" w:rsidP="00A47FAA">
      <w:pPr>
        <w:tabs>
          <w:tab w:val="left" w:pos="907"/>
        </w:tabs>
        <w:spacing w:before="40" w:line="360" w:lineRule="auto"/>
        <w:jc w:val="left"/>
        <w:rPr>
          <w:rFonts w:asciiTheme="minorBidi" w:hAnsiTheme="minorBidi" w:cstheme="minorBidi"/>
          <w:color w:val="auto"/>
          <w:spacing w:val="-2"/>
          <w:sz w:val="24"/>
          <w:szCs w:val="24"/>
        </w:rPr>
      </w:pPr>
      <w:r w:rsidRPr="00201D08">
        <w:rPr>
          <w:rFonts w:asciiTheme="minorBidi" w:hAnsiTheme="minorBidi" w:cstheme="minorBidi"/>
          <w:color w:val="auto"/>
          <w:spacing w:val="-2"/>
          <w:sz w:val="24"/>
          <w:szCs w:val="24"/>
        </w:rPr>
        <w:t>Accordingly, the lion's share of capital allocated in Tier I is with respect to credit risk.</w:t>
      </w:r>
    </w:p>
    <w:p w14:paraId="3342A5D1" w14:textId="77777777" w:rsidR="009D45AC" w:rsidRPr="00201D08" w:rsidRDefault="009D45AC" w:rsidP="00A47FAA">
      <w:pPr>
        <w:tabs>
          <w:tab w:val="left" w:pos="329"/>
        </w:tabs>
        <w:spacing w:before="40" w:line="360" w:lineRule="auto"/>
        <w:jc w:val="left"/>
        <w:rPr>
          <w:rFonts w:asciiTheme="minorBidi" w:eastAsia="Calibri" w:hAnsiTheme="minorBidi" w:cstheme="minorBidi"/>
          <w:spacing w:val="-2"/>
          <w:sz w:val="24"/>
          <w:szCs w:val="24"/>
        </w:rPr>
      </w:pPr>
      <w:r w:rsidRPr="00201D08">
        <w:rPr>
          <w:rFonts w:asciiTheme="minorBidi" w:hAnsiTheme="minorBidi" w:cstheme="minorBidi"/>
          <w:spacing w:val="-2"/>
          <w:sz w:val="24"/>
          <w:szCs w:val="24"/>
        </w:rPr>
        <w:t>For more information about credit risk, see chapter "Credit risk</w:t>
      </w:r>
      <w:r w:rsidR="00845C45" w:rsidRPr="00201D08">
        <w:rPr>
          <w:rFonts w:asciiTheme="minorBidi" w:hAnsiTheme="minorBidi" w:cstheme="minorBidi"/>
          <w:spacing w:val="-2"/>
          <w:sz w:val="24"/>
          <w:szCs w:val="24"/>
        </w:rPr>
        <w:fldChar w:fldCharType="begin"/>
      </w:r>
      <w:r w:rsidR="00845C45" w:rsidRPr="00201D08">
        <w:rPr>
          <w:sz w:val="24"/>
          <w:szCs w:val="24"/>
        </w:rPr>
        <w:instrText xml:space="preserve"> XE "</w:instrText>
      </w:r>
      <w:r w:rsidR="00845C45" w:rsidRPr="00201D08">
        <w:rPr>
          <w:rFonts w:asciiTheme="minorBidi" w:hAnsiTheme="minorBidi" w:cstheme="minorBidi"/>
          <w:sz w:val="24"/>
          <w:szCs w:val="24"/>
        </w:rPr>
        <w:instrText>Credit risk</w:instrText>
      </w:r>
      <w:r w:rsidR="00845C45" w:rsidRPr="00201D08">
        <w:rPr>
          <w:sz w:val="24"/>
          <w:szCs w:val="24"/>
        </w:rPr>
        <w:instrText xml:space="preserve">" </w:instrText>
      </w:r>
      <w:r w:rsidR="00845C45" w:rsidRPr="00201D08">
        <w:rPr>
          <w:rFonts w:asciiTheme="minorBidi" w:hAnsiTheme="minorBidi" w:cstheme="minorBidi"/>
          <w:spacing w:val="-2"/>
          <w:sz w:val="24"/>
          <w:szCs w:val="24"/>
        </w:rPr>
        <w:fldChar w:fldCharType="end"/>
      </w:r>
      <w:r w:rsidRPr="00201D08">
        <w:rPr>
          <w:rFonts w:asciiTheme="minorBidi" w:hAnsiTheme="minorBidi" w:cstheme="minorBidi"/>
          <w:spacing w:val="-2"/>
          <w:sz w:val="24"/>
          <w:szCs w:val="24"/>
        </w:rPr>
        <w:t>" in the 2018 Risks Report, available on the Bank website.</w:t>
      </w:r>
    </w:p>
    <w:p w14:paraId="1EE01D84" w14:textId="77777777" w:rsidR="005C5BF3" w:rsidRDefault="005C5BF3">
      <w:pPr>
        <w:spacing w:after="160" w:line="259" w:lineRule="auto"/>
        <w:ind w:left="0" w:right="0"/>
        <w:jc w:val="left"/>
        <w:rPr>
          <w:rFonts w:asciiTheme="minorBidi" w:eastAsia="Calibri" w:hAnsiTheme="minorBidi" w:cstheme="minorBidi"/>
          <w:sz w:val="24"/>
          <w:szCs w:val="24"/>
        </w:rPr>
      </w:pPr>
      <w:bookmarkStart w:id="12" w:name="איכות_האשראי"/>
      <w:bookmarkEnd w:id="11"/>
      <w:r>
        <w:rPr>
          <w:rFonts w:asciiTheme="minorBidi" w:eastAsia="Calibri" w:hAnsiTheme="minorBidi" w:cstheme="minorBidi"/>
          <w:sz w:val="24"/>
          <w:szCs w:val="24"/>
        </w:rPr>
        <w:br w:type="page"/>
      </w:r>
    </w:p>
    <w:p w14:paraId="2203F9AC" w14:textId="77777777" w:rsidR="00FC7886" w:rsidRPr="00917646" w:rsidRDefault="00FC7886" w:rsidP="007E3899">
      <w:pPr>
        <w:spacing w:before="140" w:after="100" w:line="360" w:lineRule="auto"/>
        <w:jc w:val="left"/>
        <w:outlineLvl w:val="2"/>
        <w:rPr>
          <w:rFonts w:asciiTheme="minorBidi" w:hAnsiTheme="minorBidi" w:cstheme="minorBidi"/>
          <w:b/>
          <w:bCs/>
          <w:sz w:val="24"/>
          <w:szCs w:val="24"/>
        </w:rPr>
      </w:pPr>
      <w:bookmarkStart w:id="13" w:name="_Toc433792683"/>
      <w:bookmarkStart w:id="14" w:name="_Toc9187315"/>
      <w:bookmarkStart w:id="15" w:name="_Toc512430225"/>
      <w:bookmarkEnd w:id="12"/>
      <w:r w:rsidRPr="00917646">
        <w:rPr>
          <w:rFonts w:asciiTheme="minorBidi" w:hAnsiTheme="minorBidi" w:cstheme="minorBidi"/>
          <w:b/>
          <w:bCs/>
          <w:sz w:val="24"/>
          <w:szCs w:val="24"/>
        </w:rPr>
        <w:lastRenderedPageBreak/>
        <w:t>Market risk</w:t>
      </w:r>
      <w:bookmarkEnd w:id="13"/>
      <w:bookmarkEnd w:id="14"/>
      <w:r w:rsidRPr="00917646">
        <w:rPr>
          <w:rFonts w:asciiTheme="minorBidi" w:hAnsiTheme="minorBidi" w:cstheme="minorBidi"/>
          <w:b/>
          <w:bCs/>
          <w:sz w:val="24"/>
          <w:szCs w:val="24"/>
        </w:rPr>
        <w:fldChar w:fldCharType="begin"/>
      </w:r>
      <w:r w:rsidRPr="00917646">
        <w:rPr>
          <w:rFonts w:asciiTheme="minorBidi" w:hAnsiTheme="minorBidi" w:cstheme="minorBidi"/>
          <w:b/>
          <w:bCs/>
          <w:sz w:val="24"/>
          <w:szCs w:val="24"/>
        </w:rPr>
        <w:instrText xml:space="preserve"> XE "Market risk" </w:instrText>
      </w:r>
      <w:r w:rsidRPr="00917646">
        <w:rPr>
          <w:rFonts w:asciiTheme="minorBidi" w:hAnsiTheme="minorBidi" w:cstheme="minorBidi"/>
          <w:b/>
          <w:bCs/>
          <w:sz w:val="24"/>
          <w:szCs w:val="24"/>
        </w:rPr>
        <w:fldChar w:fldCharType="end"/>
      </w:r>
    </w:p>
    <w:bookmarkEnd w:id="15"/>
    <w:p w14:paraId="0D8E0D76" w14:textId="77777777" w:rsidR="000F7CC1" w:rsidRPr="00201D08" w:rsidRDefault="00FC7886" w:rsidP="00A47FAA">
      <w:pPr>
        <w:spacing w:before="40" w:line="360" w:lineRule="auto"/>
        <w:rPr>
          <w:rFonts w:asciiTheme="minorBidi" w:hAnsiTheme="minorBidi" w:cstheme="minorBidi"/>
          <w:sz w:val="24"/>
          <w:szCs w:val="24"/>
        </w:rPr>
      </w:pPr>
      <w:r w:rsidRPr="00201D08">
        <w:rPr>
          <w:rFonts w:asciiTheme="minorBidi" w:hAnsiTheme="minorBidi" w:cstheme="minorBidi"/>
          <w:sz w:val="24"/>
          <w:szCs w:val="24"/>
        </w:rPr>
        <w:t>Market risk</w:t>
      </w:r>
      <w:r w:rsidRPr="00201D08">
        <w:rPr>
          <w:rFonts w:asciiTheme="minorBidi" w:hAnsiTheme="minorBidi" w:cstheme="minorBidi"/>
          <w:sz w:val="24"/>
          <w:szCs w:val="24"/>
        </w:rPr>
        <w:fldChar w:fldCharType="begin"/>
      </w:r>
      <w:r w:rsidRPr="00201D08">
        <w:rPr>
          <w:rFonts w:asciiTheme="minorBidi" w:hAnsiTheme="minorBidi" w:cstheme="minorBidi"/>
          <w:sz w:val="24"/>
          <w:szCs w:val="24"/>
        </w:rPr>
        <w:instrText xml:space="preserve"> XE "Market risk" </w:instrText>
      </w:r>
      <w:r w:rsidRPr="00201D08">
        <w:rPr>
          <w:rFonts w:asciiTheme="minorBidi" w:hAnsiTheme="minorBidi" w:cstheme="minorBidi"/>
          <w:sz w:val="24"/>
          <w:szCs w:val="24"/>
        </w:rPr>
        <w:fldChar w:fldCharType="end"/>
      </w:r>
      <w:r w:rsidRPr="00201D08">
        <w:rPr>
          <w:rFonts w:asciiTheme="minorBidi" w:hAnsiTheme="minorBidi" w:cstheme="minorBidi"/>
          <w:sz w:val="24"/>
          <w:szCs w:val="24"/>
        </w:rPr>
        <w:t xml:space="preserve"> – This is the risk of loss from on– and off-balance sheet positions, arising from change in fair value</w:t>
      </w:r>
      <w:r w:rsidR="00D757CA" w:rsidRPr="00201D08">
        <w:rPr>
          <w:rFonts w:asciiTheme="minorBidi" w:hAnsiTheme="minorBidi" w:cstheme="minorBidi"/>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fair value</w:instrText>
      </w:r>
      <w:r w:rsidR="00D757CA" w:rsidRPr="00201D08">
        <w:rPr>
          <w:sz w:val="24"/>
          <w:szCs w:val="24"/>
        </w:rPr>
        <w:instrText xml:space="preserve">" </w:instrText>
      </w:r>
      <w:r w:rsidR="00D757CA" w:rsidRPr="00201D08">
        <w:rPr>
          <w:rFonts w:asciiTheme="minorBidi" w:hAnsiTheme="minorBidi" w:cstheme="minorBidi"/>
          <w:sz w:val="24"/>
          <w:szCs w:val="24"/>
        </w:rPr>
        <w:fldChar w:fldCharType="end"/>
      </w:r>
      <w:r w:rsidRPr="00201D08">
        <w:rPr>
          <w:rFonts w:asciiTheme="minorBidi" w:hAnsiTheme="minorBidi" w:cstheme="minorBidi"/>
          <w:sz w:val="24"/>
          <w:szCs w:val="24"/>
        </w:rPr>
        <w:t xml:space="preserve"> of financial instruments, due to change in market risk</w:t>
      </w:r>
      <w:r w:rsidR="00D757CA" w:rsidRPr="00201D08">
        <w:rPr>
          <w:rFonts w:asciiTheme="minorBidi" w:hAnsiTheme="minorBidi" w:cstheme="minorBidi"/>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market risk</w:instrText>
      </w:r>
      <w:r w:rsidR="00D757CA" w:rsidRPr="00201D08">
        <w:rPr>
          <w:sz w:val="24"/>
          <w:szCs w:val="24"/>
        </w:rPr>
        <w:instrText xml:space="preserve">" </w:instrText>
      </w:r>
      <w:r w:rsidR="00D757CA" w:rsidRPr="00201D08">
        <w:rPr>
          <w:rFonts w:asciiTheme="minorBidi" w:hAnsiTheme="minorBidi" w:cstheme="minorBidi"/>
          <w:sz w:val="24"/>
          <w:szCs w:val="24"/>
        </w:rPr>
        <w:fldChar w:fldCharType="end"/>
      </w:r>
      <w:r w:rsidRPr="00201D08">
        <w:rPr>
          <w:rFonts w:asciiTheme="minorBidi" w:hAnsiTheme="minorBidi" w:cstheme="minorBidi"/>
          <w:sz w:val="24"/>
          <w:szCs w:val="24"/>
        </w:rPr>
        <w:t xml:space="preserve"> factors (interest rates, exchange rates, inflation, prices of equities and commodities). </w:t>
      </w:r>
    </w:p>
    <w:p w14:paraId="1DA71068" w14:textId="77777777" w:rsidR="000F7CC1" w:rsidRPr="00201D08" w:rsidRDefault="000F7CC1" w:rsidP="00A47FAA">
      <w:pPr>
        <w:spacing w:before="40" w:line="360" w:lineRule="auto"/>
        <w:rPr>
          <w:rFonts w:asciiTheme="minorBidi" w:hAnsiTheme="minorBidi" w:cstheme="minorBidi"/>
          <w:sz w:val="24"/>
          <w:szCs w:val="24"/>
        </w:rPr>
      </w:pPr>
    </w:p>
    <w:p w14:paraId="2D2D2386" w14:textId="77777777" w:rsidR="000F7CC1" w:rsidRPr="00201D08" w:rsidRDefault="00FC7886" w:rsidP="00A47FAA">
      <w:pPr>
        <w:spacing w:before="40" w:line="360" w:lineRule="auto"/>
        <w:rPr>
          <w:rFonts w:asciiTheme="minorBidi" w:hAnsiTheme="minorBidi" w:cstheme="minorBidi"/>
          <w:sz w:val="24"/>
          <w:szCs w:val="24"/>
        </w:rPr>
      </w:pPr>
      <w:r w:rsidRPr="00201D08">
        <w:rPr>
          <w:rFonts w:asciiTheme="minorBidi" w:hAnsiTheme="minorBidi" w:cstheme="minorBidi"/>
          <w:sz w:val="24"/>
          <w:szCs w:val="24"/>
        </w:rPr>
        <w:t xml:space="preserve">The Bank has no exposure to commodities and its exposure to equities is not material, so that Bank exposure to such risk is primarily due to basis risk – the risk exists when the Bank's assets and liabilities are denominated in different currencies or are in different linkage segments – and from interest rate risk, which the risk to Bank profit and to Bank capital, primarily due to fluctuations in interest rates, fluctuations of various curves used by the Bank in its business operations or from the fact that a change in interest rates may result in a change in composition of the Bank's assets and liabilities due to exercise of options for early repayment due to change in market interest rates. </w:t>
      </w:r>
    </w:p>
    <w:p w14:paraId="37B898EE" w14:textId="77777777" w:rsidR="000F7CC1" w:rsidRPr="00201D08" w:rsidRDefault="000F7CC1" w:rsidP="00A47FAA">
      <w:pPr>
        <w:spacing w:before="40" w:line="360" w:lineRule="auto"/>
        <w:rPr>
          <w:rFonts w:asciiTheme="minorBidi" w:hAnsiTheme="minorBidi" w:cstheme="minorBidi"/>
          <w:sz w:val="24"/>
          <w:szCs w:val="24"/>
        </w:rPr>
      </w:pPr>
    </w:p>
    <w:p w14:paraId="3FCFC6B7" w14:textId="77777777" w:rsidR="00FC7886" w:rsidRPr="00201D08" w:rsidRDefault="00FC7886" w:rsidP="00A47FAA">
      <w:pPr>
        <w:spacing w:before="40" w:line="360" w:lineRule="auto"/>
        <w:rPr>
          <w:rFonts w:asciiTheme="minorBidi" w:hAnsiTheme="minorBidi" w:cstheme="minorBidi"/>
          <w:spacing w:val="-2"/>
          <w:sz w:val="24"/>
          <w:szCs w:val="24"/>
        </w:rPr>
      </w:pPr>
      <w:r w:rsidRPr="00201D08">
        <w:rPr>
          <w:rFonts w:asciiTheme="minorBidi" w:hAnsiTheme="minorBidi" w:cstheme="minorBidi"/>
          <w:spacing w:val="-2"/>
          <w:sz w:val="24"/>
          <w:szCs w:val="24"/>
        </w:rPr>
        <w:t>Changes in interest rates impact Bank profits (change in revenues) and the value of Bank assets (change in fair value</w:t>
      </w:r>
      <w:r w:rsidR="00D757CA" w:rsidRPr="00201D08">
        <w:rPr>
          <w:rFonts w:asciiTheme="minorBidi" w:hAnsiTheme="minorBidi" w:cstheme="minorBidi"/>
          <w:spacing w:val="-2"/>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fair value</w:instrText>
      </w:r>
      <w:r w:rsidR="00D757CA" w:rsidRPr="00201D08">
        <w:rPr>
          <w:sz w:val="24"/>
          <w:szCs w:val="24"/>
        </w:rPr>
        <w:instrText xml:space="preserve">" </w:instrText>
      </w:r>
      <w:r w:rsidR="00D757CA" w:rsidRPr="00201D08">
        <w:rPr>
          <w:rFonts w:asciiTheme="minorBidi" w:hAnsiTheme="minorBidi" w:cstheme="minorBidi"/>
          <w:spacing w:val="-2"/>
          <w:sz w:val="24"/>
          <w:szCs w:val="24"/>
        </w:rPr>
        <w:fldChar w:fldCharType="end"/>
      </w:r>
      <w:r w:rsidRPr="00201D08">
        <w:rPr>
          <w:rFonts w:asciiTheme="minorBidi" w:hAnsiTheme="minorBidi" w:cstheme="minorBidi"/>
          <w:spacing w:val="-2"/>
          <w:sz w:val="24"/>
          <w:szCs w:val="24"/>
        </w:rPr>
        <w:t>).</w:t>
      </w:r>
    </w:p>
    <w:p w14:paraId="210735AC" w14:textId="77777777" w:rsidR="009D45AC" w:rsidRPr="00201D08" w:rsidRDefault="009D45AC" w:rsidP="00A47FAA">
      <w:pPr>
        <w:tabs>
          <w:tab w:val="left" w:pos="329"/>
        </w:tabs>
        <w:spacing w:before="40" w:line="360" w:lineRule="auto"/>
        <w:rPr>
          <w:rFonts w:asciiTheme="minorBidi" w:eastAsia="Calibri" w:hAnsiTheme="minorBidi" w:cstheme="minorBidi"/>
          <w:spacing w:val="-2"/>
          <w:sz w:val="24"/>
          <w:szCs w:val="24"/>
        </w:rPr>
      </w:pPr>
      <w:r w:rsidRPr="00201D08">
        <w:rPr>
          <w:rFonts w:asciiTheme="minorBidi" w:hAnsiTheme="minorBidi" w:cstheme="minorBidi"/>
          <w:spacing w:val="-2"/>
          <w:sz w:val="24"/>
          <w:szCs w:val="24"/>
        </w:rPr>
        <w:t>For more information about market risk</w:t>
      </w:r>
      <w:r w:rsidR="00D757CA" w:rsidRPr="00201D08">
        <w:rPr>
          <w:rFonts w:asciiTheme="minorBidi" w:hAnsiTheme="minorBidi" w:cstheme="minorBidi"/>
          <w:spacing w:val="-2"/>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market risk</w:instrText>
      </w:r>
      <w:r w:rsidR="00D757CA" w:rsidRPr="00201D08">
        <w:rPr>
          <w:sz w:val="24"/>
          <w:szCs w:val="24"/>
        </w:rPr>
        <w:instrText xml:space="preserve">" </w:instrText>
      </w:r>
      <w:r w:rsidR="00D757CA" w:rsidRPr="00201D08">
        <w:rPr>
          <w:rFonts w:asciiTheme="minorBidi" w:hAnsiTheme="minorBidi" w:cstheme="minorBidi"/>
          <w:spacing w:val="-2"/>
          <w:sz w:val="24"/>
          <w:szCs w:val="24"/>
        </w:rPr>
        <w:fldChar w:fldCharType="end"/>
      </w:r>
      <w:r w:rsidRPr="00201D08">
        <w:rPr>
          <w:rFonts w:asciiTheme="minorBidi" w:hAnsiTheme="minorBidi" w:cstheme="minorBidi"/>
          <w:spacing w:val="-2"/>
          <w:sz w:val="24"/>
          <w:szCs w:val="24"/>
        </w:rPr>
        <w:t>, see chapter "Market risk" in the 2018 Risks Report, available on the Bank website.</w:t>
      </w:r>
    </w:p>
    <w:p w14:paraId="2CA2BD22" w14:textId="77777777" w:rsidR="009D45AC" w:rsidRPr="00201D08" w:rsidRDefault="009D45AC" w:rsidP="00A47FAA">
      <w:pPr>
        <w:spacing w:before="40" w:line="360" w:lineRule="auto"/>
        <w:rPr>
          <w:rFonts w:asciiTheme="minorBidi" w:hAnsiTheme="minorBidi" w:cstheme="minorBidi"/>
          <w:sz w:val="24"/>
          <w:szCs w:val="24"/>
          <w:rtl/>
        </w:rPr>
      </w:pPr>
    </w:p>
    <w:p w14:paraId="7A3E9D49" w14:textId="77777777" w:rsidR="00FC7886" w:rsidRPr="00917646" w:rsidRDefault="00FC7886" w:rsidP="007E3899">
      <w:pPr>
        <w:spacing w:before="140" w:after="100" w:line="360" w:lineRule="auto"/>
        <w:jc w:val="left"/>
        <w:outlineLvl w:val="2"/>
        <w:rPr>
          <w:rFonts w:asciiTheme="minorBidi" w:hAnsiTheme="minorBidi" w:cstheme="minorBidi"/>
          <w:b/>
          <w:bCs/>
          <w:sz w:val="24"/>
          <w:szCs w:val="24"/>
        </w:rPr>
      </w:pPr>
      <w:bookmarkStart w:id="16" w:name="_Toc9187317"/>
      <w:bookmarkStart w:id="17" w:name="_Toc512430237"/>
      <w:bookmarkStart w:id="18" w:name="_Toc433792685"/>
      <w:bookmarkStart w:id="19" w:name="_Toc512430230"/>
      <w:r w:rsidRPr="00917646">
        <w:rPr>
          <w:rFonts w:asciiTheme="minorBidi" w:hAnsiTheme="minorBidi" w:cstheme="minorBidi"/>
          <w:b/>
          <w:bCs/>
          <w:sz w:val="24"/>
          <w:szCs w:val="24"/>
        </w:rPr>
        <w:t>Liquidity risk</w:t>
      </w:r>
      <w:bookmarkEnd w:id="16"/>
      <w:r w:rsidRPr="00917646">
        <w:rPr>
          <w:rFonts w:asciiTheme="minorBidi" w:hAnsiTheme="minorBidi" w:cstheme="minorBidi"/>
          <w:b/>
          <w:bCs/>
          <w:sz w:val="24"/>
          <w:szCs w:val="24"/>
        </w:rPr>
        <w:fldChar w:fldCharType="begin"/>
      </w:r>
      <w:r w:rsidRPr="00917646">
        <w:rPr>
          <w:rFonts w:asciiTheme="minorBidi" w:hAnsiTheme="minorBidi" w:cstheme="minorBidi"/>
          <w:b/>
          <w:bCs/>
          <w:sz w:val="24"/>
          <w:szCs w:val="24"/>
        </w:rPr>
        <w:instrText xml:space="preserve"> XE "Liquidity risk" </w:instrText>
      </w:r>
      <w:r w:rsidRPr="00917646">
        <w:rPr>
          <w:rFonts w:asciiTheme="minorBidi" w:hAnsiTheme="minorBidi" w:cstheme="minorBidi"/>
          <w:b/>
          <w:bCs/>
          <w:sz w:val="24"/>
          <w:szCs w:val="24"/>
        </w:rPr>
        <w:fldChar w:fldCharType="end"/>
      </w:r>
      <w:bookmarkEnd w:id="17"/>
      <w:r w:rsidRPr="00917646">
        <w:rPr>
          <w:rFonts w:asciiTheme="minorBidi" w:hAnsiTheme="minorBidi" w:cstheme="minorBidi"/>
          <w:b/>
          <w:bCs/>
          <w:sz w:val="24"/>
          <w:szCs w:val="24"/>
        </w:rPr>
        <w:fldChar w:fldCharType="begin"/>
      </w:r>
      <w:r w:rsidRPr="00917646">
        <w:rPr>
          <w:rFonts w:asciiTheme="minorBidi" w:hAnsiTheme="minorBidi" w:cstheme="minorBidi"/>
          <w:b/>
          <w:bCs/>
          <w:sz w:val="24"/>
          <w:szCs w:val="24"/>
        </w:rPr>
        <w:instrText xml:space="preserve"> XE "Financing" </w:instrText>
      </w:r>
      <w:r w:rsidRPr="00917646">
        <w:rPr>
          <w:rFonts w:asciiTheme="minorBidi" w:hAnsiTheme="minorBidi" w:cstheme="minorBidi"/>
          <w:b/>
          <w:bCs/>
          <w:sz w:val="24"/>
          <w:szCs w:val="24"/>
        </w:rPr>
        <w:fldChar w:fldCharType="end"/>
      </w:r>
    </w:p>
    <w:p w14:paraId="4F24F4DA" w14:textId="77777777" w:rsidR="00FC7886" w:rsidRPr="00201D08" w:rsidRDefault="00FC7886" w:rsidP="00A47FAA">
      <w:pPr>
        <w:tabs>
          <w:tab w:val="left" w:pos="329"/>
        </w:tabs>
        <w:spacing w:before="40" w:line="360" w:lineRule="auto"/>
        <w:rPr>
          <w:rFonts w:asciiTheme="minorBidi" w:eastAsia="Calibri" w:hAnsiTheme="minorBidi" w:cstheme="minorBidi"/>
          <w:sz w:val="24"/>
          <w:szCs w:val="24"/>
        </w:rPr>
      </w:pPr>
      <w:bookmarkStart w:id="20" w:name="_Toc442643742"/>
      <w:bookmarkStart w:id="21" w:name="_Toc512430238"/>
      <w:r w:rsidRPr="00201D08">
        <w:rPr>
          <w:rFonts w:asciiTheme="minorBidi" w:hAnsiTheme="minorBidi" w:cstheme="minorBidi"/>
          <w:sz w:val="24"/>
          <w:szCs w:val="24"/>
        </w:rPr>
        <w:t>Liquidity risk</w:t>
      </w:r>
      <w:r w:rsidRPr="00201D08">
        <w:rPr>
          <w:rFonts w:asciiTheme="minorBidi" w:eastAsia="Calibri" w:hAnsiTheme="minorBidi" w:cstheme="minorBidi"/>
          <w:sz w:val="24"/>
          <w:szCs w:val="24"/>
        </w:rPr>
        <w:fldChar w:fldCharType="begin"/>
      </w:r>
      <w:r w:rsidRPr="00201D08">
        <w:rPr>
          <w:rFonts w:asciiTheme="minorBidi" w:hAnsiTheme="minorBidi" w:cstheme="minorBidi"/>
          <w:sz w:val="24"/>
          <w:szCs w:val="24"/>
        </w:rPr>
        <w:instrText xml:space="preserve"> XE "Liquidity risk" </w:instrText>
      </w:r>
      <w:r w:rsidRPr="00201D08">
        <w:rPr>
          <w:rFonts w:asciiTheme="minorBidi" w:eastAsia="Calibri" w:hAnsiTheme="minorBidi" w:cstheme="minorBidi"/>
          <w:sz w:val="24"/>
          <w:szCs w:val="24"/>
        </w:rPr>
        <w:fldChar w:fldCharType="end"/>
      </w:r>
      <w:r w:rsidRPr="00201D08">
        <w:rPr>
          <w:rFonts w:asciiTheme="minorBidi" w:hAnsiTheme="minorBidi" w:cstheme="minorBidi"/>
          <w:sz w:val="24"/>
          <w:szCs w:val="24"/>
        </w:rPr>
        <w:t xml:space="preserve"> – risk resulting from uncertainty as to the availability of sources and the ability to realize assets within a specified period of time and at a reasonable price.</w:t>
      </w:r>
    </w:p>
    <w:p w14:paraId="57D2286F" w14:textId="77777777" w:rsidR="000F7CC1" w:rsidRPr="00201D08" w:rsidRDefault="00FC7886" w:rsidP="00A47FAA">
      <w:pPr>
        <w:spacing w:before="40" w:line="360" w:lineRule="auto"/>
        <w:rPr>
          <w:rFonts w:asciiTheme="minorBidi" w:hAnsiTheme="minorBidi" w:cstheme="minorBidi"/>
          <w:sz w:val="24"/>
          <w:szCs w:val="24"/>
        </w:rPr>
      </w:pPr>
      <w:r w:rsidRPr="00201D08">
        <w:rPr>
          <w:rFonts w:asciiTheme="minorBidi" w:hAnsiTheme="minorBidi" w:cstheme="minorBidi"/>
          <w:sz w:val="24"/>
          <w:szCs w:val="24"/>
        </w:rPr>
        <w:t xml:space="preserve">Liquidity risk is a material and unique, due to the need to respond to it in the shortest possible time. </w:t>
      </w:r>
    </w:p>
    <w:p w14:paraId="346610FA" w14:textId="77777777" w:rsidR="00FC7886" w:rsidRPr="00201D08" w:rsidRDefault="00FC7886" w:rsidP="00A47FAA">
      <w:pPr>
        <w:spacing w:before="40" w:line="360" w:lineRule="auto"/>
        <w:rPr>
          <w:rFonts w:asciiTheme="minorBidi" w:hAnsiTheme="minorBidi" w:cstheme="minorBidi"/>
          <w:spacing w:val="-4"/>
          <w:sz w:val="24"/>
          <w:szCs w:val="24"/>
        </w:rPr>
      </w:pPr>
      <w:r w:rsidRPr="00201D08">
        <w:rPr>
          <w:rFonts w:asciiTheme="minorBidi" w:hAnsiTheme="minorBidi" w:cstheme="minorBidi"/>
          <w:spacing w:val="-4"/>
          <w:sz w:val="24"/>
          <w:szCs w:val="24"/>
        </w:rPr>
        <w:t>Risk materialization may cause the Bank to incur significant loss and may even result in collapse of the Bank.</w:t>
      </w:r>
    </w:p>
    <w:p w14:paraId="615F8F27" w14:textId="57ADECAA" w:rsidR="00FC7886" w:rsidRPr="00C75BEA" w:rsidRDefault="009D45AC" w:rsidP="00C75BEA">
      <w:pPr>
        <w:tabs>
          <w:tab w:val="left" w:pos="329"/>
        </w:tabs>
        <w:spacing w:before="40" w:line="360" w:lineRule="auto"/>
        <w:rPr>
          <w:rFonts w:asciiTheme="minorBidi" w:eastAsia="Calibri" w:hAnsiTheme="minorBidi" w:cstheme="minorBidi"/>
          <w:spacing w:val="-4"/>
          <w:sz w:val="24"/>
          <w:szCs w:val="24"/>
        </w:rPr>
      </w:pPr>
      <w:r w:rsidRPr="00201D08">
        <w:rPr>
          <w:rFonts w:asciiTheme="minorBidi" w:hAnsiTheme="minorBidi" w:cstheme="minorBidi"/>
          <w:spacing w:val="-4"/>
          <w:sz w:val="24"/>
          <w:szCs w:val="24"/>
        </w:rPr>
        <w:lastRenderedPageBreak/>
        <w:t>For more information about liquidity risk</w:t>
      </w:r>
      <w:r w:rsidR="00D757CA" w:rsidRPr="00201D08">
        <w:rPr>
          <w:rFonts w:asciiTheme="minorBidi" w:hAnsiTheme="minorBidi" w:cstheme="minorBidi"/>
          <w:spacing w:val="-4"/>
          <w:sz w:val="24"/>
          <w:szCs w:val="24"/>
        </w:rPr>
        <w:fldChar w:fldCharType="begin"/>
      </w:r>
      <w:r w:rsidR="00D757CA" w:rsidRPr="00201D08">
        <w:rPr>
          <w:sz w:val="24"/>
          <w:szCs w:val="24"/>
        </w:rPr>
        <w:instrText xml:space="preserve"> XE "</w:instrText>
      </w:r>
      <w:r w:rsidR="00D757CA" w:rsidRPr="00201D08">
        <w:rPr>
          <w:rFonts w:asciiTheme="minorBidi" w:hAnsiTheme="minorBidi" w:cstheme="minorBidi"/>
          <w:sz w:val="24"/>
          <w:szCs w:val="24"/>
        </w:rPr>
        <w:instrText>liquidity risk</w:instrText>
      </w:r>
      <w:r w:rsidR="00D757CA" w:rsidRPr="00201D08">
        <w:rPr>
          <w:sz w:val="24"/>
          <w:szCs w:val="24"/>
        </w:rPr>
        <w:instrText xml:space="preserve">" </w:instrText>
      </w:r>
      <w:r w:rsidR="00D757CA" w:rsidRPr="00201D08">
        <w:rPr>
          <w:rFonts w:asciiTheme="minorBidi" w:hAnsiTheme="minorBidi" w:cstheme="minorBidi"/>
          <w:spacing w:val="-4"/>
          <w:sz w:val="24"/>
          <w:szCs w:val="24"/>
        </w:rPr>
        <w:fldChar w:fldCharType="end"/>
      </w:r>
      <w:r w:rsidRPr="00201D08">
        <w:rPr>
          <w:rFonts w:asciiTheme="minorBidi" w:hAnsiTheme="minorBidi" w:cstheme="minorBidi"/>
          <w:spacing w:val="-4"/>
          <w:sz w:val="24"/>
          <w:szCs w:val="24"/>
        </w:rPr>
        <w:t>, see chapter "Liquidity risk" in the 2018 Risks Report, available on the Bank website.</w:t>
      </w:r>
      <w:r w:rsidR="00FC7886" w:rsidRPr="00F6277F">
        <w:rPr>
          <w:rFonts w:asciiTheme="minorBidi" w:hAnsiTheme="minorBidi" w:cstheme="minorBidi"/>
        </w:rPr>
        <w:br w:type="page"/>
      </w:r>
    </w:p>
    <w:p w14:paraId="2A03B318" w14:textId="77777777" w:rsidR="00FC7886" w:rsidRPr="00F6277F" w:rsidRDefault="00FC7886" w:rsidP="007E3899">
      <w:pPr>
        <w:spacing w:before="300" w:after="120" w:line="360" w:lineRule="auto"/>
        <w:outlineLvl w:val="2"/>
        <w:rPr>
          <w:rFonts w:asciiTheme="minorBidi" w:hAnsiTheme="minorBidi" w:cstheme="minorBidi"/>
          <w:b/>
          <w:bCs/>
          <w:sz w:val="24"/>
          <w:szCs w:val="24"/>
        </w:rPr>
      </w:pPr>
      <w:r w:rsidRPr="00F6277F">
        <w:rPr>
          <w:rFonts w:asciiTheme="minorBidi" w:hAnsiTheme="minorBidi" w:cstheme="minorBidi"/>
          <w:b/>
          <w:bCs/>
          <w:sz w:val="24"/>
          <w:szCs w:val="24"/>
        </w:rPr>
        <w:lastRenderedPageBreak/>
        <w:t>Key factors that impact the results of liquidity coverage ratio</w:t>
      </w:r>
    </w:p>
    <w:p w14:paraId="6AFA7715" w14:textId="77777777" w:rsidR="000F7CC1" w:rsidRPr="00201D08" w:rsidRDefault="00FC7886" w:rsidP="00A47FAA">
      <w:pPr>
        <w:spacing w:line="360" w:lineRule="auto"/>
        <w:rPr>
          <w:rFonts w:asciiTheme="minorBidi" w:hAnsiTheme="minorBidi" w:cstheme="minorBidi"/>
          <w:sz w:val="24"/>
          <w:szCs w:val="24"/>
        </w:rPr>
      </w:pPr>
      <w:r w:rsidRPr="00201D08">
        <w:rPr>
          <w:rFonts w:asciiTheme="minorBidi" w:hAnsiTheme="minorBidi" w:cstheme="minorBidi"/>
          <w:sz w:val="24"/>
          <w:szCs w:val="24"/>
        </w:rPr>
        <w:t xml:space="preserve">The major factors affecting the liquidity coverage ratio results are composition of Bank sources and uses. </w:t>
      </w:r>
    </w:p>
    <w:p w14:paraId="25B758E4" w14:textId="77777777" w:rsidR="000F7CC1" w:rsidRPr="00201D08" w:rsidRDefault="00FC7886" w:rsidP="00A47FAA">
      <w:pPr>
        <w:spacing w:line="360" w:lineRule="auto"/>
        <w:rPr>
          <w:rFonts w:asciiTheme="minorBidi" w:hAnsiTheme="minorBidi" w:cstheme="minorBidi"/>
          <w:sz w:val="24"/>
          <w:szCs w:val="24"/>
        </w:rPr>
      </w:pPr>
      <w:r w:rsidRPr="00201D08">
        <w:rPr>
          <w:rFonts w:asciiTheme="minorBidi" w:hAnsiTheme="minorBidi" w:cstheme="minorBidi"/>
          <w:sz w:val="24"/>
          <w:szCs w:val="24"/>
        </w:rPr>
        <w:t xml:space="preserve">High-Quality Liquid Assets ("HQLA") are Level 1 assets, which are typically highly negotiable and associated with low risk. These include cash, current accounts and deposits with central banks, debentures of sovereigns with a 0% risk weighting and debentures of the State of Israel. </w:t>
      </w:r>
    </w:p>
    <w:p w14:paraId="05D9EAD7" w14:textId="77777777" w:rsidR="000F7CC1" w:rsidRPr="00201D08" w:rsidRDefault="00FC7886" w:rsidP="00A47FAA">
      <w:pPr>
        <w:spacing w:line="360" w:lineRule="auto"/>
        <w:rPr>
          <w:rFonts w:asciiTheme="minorBidi" w:hAnsiTheme="minorBidi" w:cstheme="minorBidi"/>
          <w:sz w:val="24"/>
          <w:szCs w:val="24"/>
        </w:rPr>
      </w:pPr>
      <w:r w:rsidRPr="00201D08">
        <w:rPr>
          <w:rFonts w:asciiTheme="minorBidi" w:hAnsiTheme="minorBidi" w:cstheme="minorBidi"/>
          <w:sz w:val="24"/>
          <w:szCs w:val="24"/>
        </w:rPr>
        <w:t>Cash outflows primarily consist of unsecured wholesale financing</w:t>
      </w:r>
      <w:r w:rsidRPr="00201D08">
        <w:rPr>
          <w:rFonts w:asciiTheme="minorBidi" w:hAnsiTheme="minorBidi" w:cstheme="minorBidi"/>
          <w:sz w:val="24"/>
          <w:szCs w:val="24"/>
        </w:rPr>
        <w:fldChar w:fldCharType="begin"/>
      </w:r>
      <w:r w:rsidRPr="00201D08">
        <w:rPr>
          <w:rFonts w:asciiTheme="minorBidi" w:hAnsiTheme="minorBidi" w:cstheme="minorBidi"/>
          <w:sz w:val="24"/>
          <w:szCs w:val="24"/>
        </w:rPr>
        <w:instrText xml:space="preserve"> XE "Financing" </w:instrText>
      </w:r>
      <w:r w:rsidRPr="00201D08">
        <w:rPr>
          <w:rFonts w:asciiTheme="minorBidi" w:hAnsiTheme="minorBidi" w:cstheme="minorBidi"/>
          <w:sz w:val="24"/>
          <w:szCs w:val="24"/>
        </w:rPr>
        <w:fldChar w:fldCharType="end"/>
      </w:r>
      <w:r w:rsidRPr="00201D08">
        <w:rPr>
          <w:rFonts w:asciiTheme="minorBidi" w:hAnsiTheme="minorBidi" w:cstheme="minorBidi"/>
          <w:sz w:val="24"/>
          <w:szCs w:val="24"/>
        </w:rPr>
        <w:t xml:space="preserve"> – deposits which corporations and financial institutions deposited with the Bank, as well as outflows with respect to exposure to derivatives</w:t>
      </w:r>
      <w:r w:rsidR="00845C45" w:rsidRPr="00201D08">
        <w:rPr>
          <w:rFonts w:asciiTheme="minorBidi" w:hAnsiTheme="minorBidi" w:cstheme="minorBidi"/>
          <w:sz w:val="24"/>
          <w:szCs w:val="24"/>
        </w:rPr>
        <w:fldChar w:fldCharType="begin"/>
      </w:r>
      <w:r w:rsidR="00845C45" w:rsidRPr="00201D08">
        <w:rPr>
          <w:sz w:val="24"/>
          <w:szCs w:val="24"/>
        </w:rPr>
        <w:instrText xml:space="preserve"> XE "</w:instrText>
      </w:r>
      <w:r w:rsidR="00845C45" w:rsidRPr="00201D08">
        <w:rPr>
          <w:rFonts w:asciiTheme="minorBidi" w:hAnsiTheme="minorBidi" w:cstheme="minorBidi"/>
          <w:sz w:val="24"/>
          <w:szCs w:val="24"/>
        </w:rPr>
        <w:instrText>derivatives</w:instrText>
      </w:r>
      <w:r w:rsidR="00845C45" w:rsidRPr="00201D08">
        <w:rPr>
          <w:sz w:val="24"/>
          <w:szCs w:val="24"/>
        </w:rPr>
        <w:instrText xml:space="preserve">" </w:instrText>
      </w:r>
      <w:r w:rsidR="00845C45" w:rsidRPr="00201D08">
        <w:rPr>
          <w:rFonts w:asciiTheme="minorBidi" w:hAnsiTheme="minorBidi" w:cstheme="minorBidi"/>
          <w:sz w:val="24"/>
          <w:szCs w:val="24"/>
        </w:rPr>
        <w:fldChar w:fldCharType="end"/>
      </w:r>
      <w:r w:rsidRPr="00201D08">
        <w:rPr>
          <w:rFonts w:asciiTheme="minorBidi" w:hAnsiTheme="minorBidi" w:cstheme="minorBidi"/>
          <w:sz w:val="24"/>
          <w:szCs w:val="24"/>
        </w:rPr>
        <w:t xml:space="preserve">. </w:t>
      </w:r>
    </w:p>
    <w:p w14:paraId="1412DC93" w14:textId="77777777" w:rsidR="00FC7886" w:rsidRPr="00201D08" w:rsidRDefault="00FC7886" w:rsidP="00A47FAA">
      <w:pPr>
        <w:spacing w:line="360" w:lineRule="auto"/>
        <w:rPr>
          <w:rFonts w:asciiTheme="minorBidi" w:hAnsiTheme="minorBidi" w:cstheme="minorBidi"/>
          <w:sz w:val="24"/>
          <w:szCs w:val="24"/>
        </w:rPr>
      </w:pPr>
      <w:r w:rsidRPr="00201D08">
        <w:rPr>
          <w:rFonts w:asciiTheme="minorBidi" w:hAnsiTheme="minorBidi" w:cstheme="minorBidi"/>
          <w:sz w:val="24"/>
          <w:szCs w:val="24"/>
        </w:rPr>
        <w:t>Cash inflows primarily consist of credit receipts and inflows with respect to exposure to derivatives</w:t>
      </w:r>
      <w:r w:rsidR="00845C45" w:rsidRPr="00201D08">
        <w:rPr>
          <w:rFonts w:asciiTheme="minorBidi" w:hAnsiTheme="minorBidi" w:cstheme="minorBidi"/>
          <w:sz w:val="24"/>
          <w:szCs w:val="24"/>
        </w:rPr>
        <w:fldChar w:fldCharType="begin"/>
      </w:r>
      <w:r w:rsidR="00845C45" w:rsidRPr="00201D08">
        <w:rPr>
          <w:sz w:val="24"/>
          <w:szCs w:val="24"/>
        </w:rPr>
        <w:instrText xml:space="preserve"> XE "</w:instrText>
      </w:r>
      <w:r w:rsidR="00845C45" w:rsidRPr="00201D08">
        <w:rPr>
          <w:rFonts w:asciiTheme="minorBidi" w:hAnsiTheme="minorBidi" w:cstheme="minorBidi"/>
          <w:sz w:val="24"/>
          <w:szCs w:val="24"/>
        </w:rPr>
        <w:instrText>derivatives</w:instrText>
      </w:r>
      <w:r w:rsidR="00845C45" w:rsidRPr="00201D08">
        <w:rPr>
          <w:sz w:val="24"/>
          <w:szCs w:val="24"/>
        </w:rPr>
        <w:instrText xml:space="preserve">" </w:instrText>
      </w:r>
      <w:r w:rsidR="00845C45" w:rsidRPr="00201D08">
        <w:rPr>
          <w:rFonts w:asciiTheme="minorBidi" w:hAnsiTheme="minorBidi" w:cstheme="minorBidi"/>
          <w:sz w:val="24"/>
          <w:szCs w:val="24"/>
        </w:rPr>
        <w:fldChar w:fldCharType="end"/>
      </w:r>
      <w:r w:rsidRPr="00201D08">
        <w:rPr>
          <w:rFonts w:asciiTheme="minorBidi" w:hAnsiTheme="minorBidi" w:cstheme="minorBidi"/>
          <w:sz w:val="24"/>
          <w:szCs w:val="24"/>
        </w:rPr>
        <w:t>.</w:t>
      </w:r>
    </w:p>
    <w:p w14:paraId="32A4BC29" w14:textId="77777777" w:rsidR="000F7CC1" w:rsidRPr="00201D08" w:rsidRDefault="005147CB" w:rsidP="00A47FAA">
      <w:pPr>
        <w:spacing w:line="360" w:lineRule="auto"/>
        <w:rPr>
          <w:rFonts w:asciiTheme="minorBidi" w:hAnsiTheme="minorBidi" w:cstheme="minorBidi"/>
          <w:sz w:val="24"/>
          <w:szCs w:val="24"/>
        </w:rPr>
      </w:pPr>
      <w:r w:rsidRPr="00201D08">
        <w:rPr>
          <w:rFonts w:asciiTheme="minorBidi" w:hAnsiTheme="minorBidi" w:cstheme="minorBidi"/>
          <w:sz w:val="24"/>
          <w:szCs w:val="24"/>
        </w:rPr>
        <w:t xml:space="preserve">The ratio is primarily cyclical and may be forecast based on internal estimates by the Bank. </w:t>
      </w:r>
    </w:p>
    <w:p w14:paraId="74D332AE" w14:textId="77777777" w:rsidR="000F7CC1" w:rsidRPr="00201D08" w:rsidRDefault="005147CB" w:rsidP="00A47FAA">
      <w:pPr>
        <w:spacing w:line="360" w:lineRule="auto"/>
        <w:rPr>
          <w:rFonts w:asciiTheme="minorBidi" w:hAnsiTheme="minorBidi" w:cstheme="minorBidi"/>
          <w:sz w:val="24"/>
          <w:szCs w:val="24"/>
        </w:rPr>
      </w:pPr>
      <w:r w:rsidRPr="00201D08">
        <w:rPr>
          <w:rFonts w:asciiTheme="minorBidi" w:hAnsiTheme="minorBidi" w:cstheme="minorBidi"/>
          <w:sz w:val="24"/>
          <w:szCs w:val="24"/>
        </w:rPr>
        <w:t xml:space="preserve">The key factor which affects evolution of this ratio over time is growth in Bank business, both in raising and management of source composition and increase in uses. </w:t>
      </w:r>
    </w:p>
    <w:p w14:paraId="654C297B" w14:textId="77777777" w:rsidR="005147CB" w:rsidRPr="00201D08" w:rsidRDefault="005147CB" w:rsidP="00A47FAA">
      <w:pPr>
        <w:spacing w:line="360" w:lineRule="auto"/>
        <w:rPr>
          <w:rFonts w:asciiTheme="minorBidi" w:hAnsiTheme="minorBidi" w:cstheme="minorBidi"/>
          <w:sz w:val="24"/>
          <w:szCs w:val="24"/>
        </w:rPr>
      </w:pPr>
      <w:r w:rsidRPr="00201D08">
        <w:rPr>
          <w:rFonts w:asciiTheme="minorBidi" w:hAnsiTheme="minorBidi" w:cstheme="minorBidi"/>
          <w:sz w:val="24"/>
          <w:szCs w:val="24"/>
        </w:rPr>
        <w:t>There is some volatility between days of the month, due to current activity of clients and interchangeability between NIS and foreign currency, primarily due to activity in NIS / foreign currency derivatives</w:t>
      </w:r>
      <w:r w:rsidR="00845C45" w:rsidRPr="00201D08">
        <w:rPr>
          <w:rFonts w:asciiTheme="minorBidi" w:hAnsiTheme="minorBidi" w:cstheme="minorBidi"/>
          <w:sz w:val="24"/>
          <w:szCs w:val="24"/>
        </w:rPr>
        <w:fldChar w:fldCharType="begin"/>
      </w:r>
      <w:r w:rsidR="00845C45" w:rsidRPr="00201D08">
        <w:rPr>
          <w:sz w:val="24"/>
          <w:szCs w:val="24"/>
        </w:rPr>
        <w:instrText xml:space="preserve"> XE "</w:instrText>
      </w:r>
      <w:r w:rsidR="00845C45" w:rsidRPr="00201D08">
        <w:rPr>
          <w:rFonts w:asciiTheme="minorBidi" w:hAnsiTheme="minorBidi" w:cstheme="minorBidi"/>
          <w:sz w:val="24"/>
          <w:szCs w:val="24"/>
        </w:rPr>
        <w:instrText>derivatives</w:instrText>
      </w:r>
      <w:r w:rsidR="00845C45" w:rsidRPr="00201D08">
        <w:rPr>
          <w:sz w:val="24"/>
          <w:szCs w:val="24"/>
        </w:rPr>
        <w:instrText xml:space="preserve">" </w:instrText>
      </w:r>
      <w:r w:rsidR="00845C45" w:rsidRPr="00201D08">
        <w:rPr>
          <w:rFonts w:asciiTheme="minorBidi" w:hAnsiTheme="minorBidi" w:cstheme="minorBidi"/>
          <w:sz w:val="24"/>
          <w:szCs w:val="24"/>
        </w:rPr>
        <w:fldChar w:fldCharType="end"/>
      </w:r>
      <w:r w:rsidRPr="00201D08">
        <w:rPr>
          <w:rFonts w:asciiTheme="minorBidi" w:hAnsiTheme="minorBidi" w:cstheme="minorBidi"/>
          <w:sz w:val="24"/>
          <w:szCs w:val="24"/>
        </w:rPr>
        <w:t>.</w:t>
      </w:r>
    </w:p>
    <w:bookmarkEnd w:id="18"/>
    <w:bookmarkEnd w:id="19"/>
    <w:bookmarkEnd w:id="20"/>
    <w:bookmarkEnd w:id="21"/>
    <w:p w14:paraId="35E03FA8" w14:textId="77777777" w:rsidR="005147CB" w:rsidRPr="00B31F2A" w:rsidRDefault="005147CB" w:rsidP="00A47FAA">
      <w:pPr>
        <w:spacing w:before="40" w:after="120" w:line="360" w:lineRule="auto"/>
        <w:rPr>
          <w:rFonts w:asciiTheme="minorBidi" w:hAnsiTheme="minorBidi" w:cstheme="minorBidi"/>
          <w:szCs w:val="18"/>
          <w:rtl/>
        </w:rPr>
      </w:pPr>
    </w:p>
    <w:sectPr w:rsidR="005147CB" w:rsidRPr="00B31F2A" w:rsidSect="003D0427">
      <w:headerReference w:type="even" r:id="rId14"/>
      <w:footnotePr>
        <w:pos w:val="beneathText"/>
        <w:numRestart w:val="eachPage"/>
      </w:footnotePr>
      <w:type w:val="continuous"/>
      <w:pgSz w:w="11907" w:h="16840" w:code="9"/>
      <w:pgMar w:top="1440" w:right="1304" w:bottom="1871" w:left="1304" w:header="720" w:footer="1134"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DC5F5D" w14:textId="77777777" w:rsidR="0037648A" w:rsidRDefault="0037648A">
      <w:r>
        <w:separator/>
      </w:r>
    </w:p>
    <w:p w14:paraId="114351B9" w14:textId="77777777" w:rsidR="0037648A" w:rsidRDefault="0037648A"/>
  </w:endnote>
  <w:endnote w:type="continuationSeparator" w:id="0">
    <w:p w14:paraId="2951F711" w14:textId="77777777" w:rsidR="0037648A" w:rsidRDefault="0037648A">
      <w:r>
        <w:continuationSeparator/>
      </w:r>
    </w:p>
    <w:p w14:paraId="48800883" w14:textId="77777777" w:rsidR="0037648A" w:rsidRDefault="0037648A"/>
  </w:endnote>
  <w:endnote w:type="continuationNotice" w:id="1">
    <w:p w14:paraId="34D92AC5" w14:textId="77777777" w:rsidR="0037648A" w:rsidRDefault="0037648A"/>
    <w:p w14:paraId="0A4A8E87" w14:textId="77777777" w:rsidR="0037648A" w:rsidRDefault="003764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riam">
    <w:charset w:val="B1"/>
    <w:family w:val="swiss"/>
    <w:pitch w:val="variable"/>
    <w:sig w:usb0="00000803" w:usb1="00000000" w:usb2="00000000" w:usb3="00000000" w:csb0="00000021" w:csb1="00000000"/>
  </w:font>
  <w:font w:name="David">
    <w:charset w:val="B1"/>
    <w:family w:val="swiss"/>
    <w:pitch w:val="variable"/>
    <w:sig w:usb0="00000803" w:usb1="00000000" w:usb2="00000000" w:usb3="00000000" w:csb0="00000021" w:csb1="00000000"/>
  </w:font>
  <w:font w:name="OronBlackMF">
    <w:charset w:val="B1"/>
    <w:family w:val="auto"/>
    <w:pitch w:val="variable"/>
    <w:sig w:usb0="00001801" w:usb1="00000000" w:usb2="00000000" w:usb3="00000000" w:csb0="00000020" w:csb1="00000000"/>
  </w:font>
  <w:font w:name="OronMF">
    <w:charset w:val="B1"/>
    <w:family w:val="auto"/>
    <w:pitch w:val="variable"/>
    <w:sig w:usb0="00001801" w:usb1="00000000" w:usb2="00000000" w:usb3="00000000" w:csb0="00000020"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Joker">
    <w:charset w:val="B1"/>
    <w:family w:val="auto"/>
    <w:pitch w:val="variable"/>
    <w:sig w:usb0="00000801" w:usb1="00000000" w:usb2="00000000" w:usb3="00000000" w:csb0="0000002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Univers 45 Light">
    <w:charset w:val="00"/>
    <w:family w:val="auto"/>
    <w:pitch w:val="variable"/>
    <w:sig w:usb0="80000023" w:usb1="00000000" w:usb2="00000000" w:usb3="00000000" w:csb0="00000001" w:csb1="00000000"/>
  </w:font>
  <w:font w:name="Univers LT Pro 45 Light">
    <w:altName w:val="Arial"/>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Joker"/>
        <w:sz w:val="21"/>
        <w:szCs w:val="21"/>
      </w:rPr>
      <w:id w:val="1683783643"/>
      <w:docPartObj>
        <w:docPartGallery w:val="Page Numbers (Bottom of Page)"/>
        <w:docPartUnique/>
      </w:docPartObj>
    </w:sdtPr>
    <w:sdtEndPr/>
    <w:sdtContent>
      <w:p w14:paraId="2A53C200" w14:textId="77777777" w:rsidR="00144B72" w:rsidRDefault="00144B72" w:rsidP="00144B72">
        <w:pPr>
          <w:pStyle w:val="Footer"/>
          <w:rPr>
            <w:rFonts w:cs="Joker"/>
            <w:sz w:val="21"/>
            <w:szCs w:val="21"/>
          </w:rPr>
        </w:pPr>
      </w:p>
      <w:p w14:paraId="6A465170" w14:textId="77777777" w:rsidR="00144B72" w:rsidRDefault="00144B72" w:rsidP="00144B72">
        <w:pPr>
          <w:pStyle w:val="Footer"/>
          <w:rPr>
            <w:rFonts w:cs="Joker"/>
            <w:sz w:val="21"/>
            <w:szCs w:val="21"/>
          </w:rPr>
        </w:pPr>
        <w:r>
          <w:rPr>
            <w:rFonts w:cs="Joker"/>
            <w:sz w:val="21"/>
            <w:szCs w:val="21"/>
          </w:rPr>
          <w:t>----------------------------------------------------------------------------------------------------------------------------------------</w:t>
        </w:r>
      </w:p>
      <w:p w14:paraId="26AF34EB" w14:textId="77777777" w:rsidR="00144B72" w:rsidRDefault="00144B72" w:rsidP="00144B72">
        <w:pPr>
          <w:pStyle w:val="Footer"/>
          <w:rPr>
            <w:rFonts w:cs="Joker"/>
            <w:sz w:val="21"/>
            <w:szCs w:val="21"/>
          </w:rPr>
        </w:pPr>
      </w:p>
      <w:p w14:paraId="2A8DDF2F" w14:textId="77777777" w:rsidR="00144B72" w:rsidRDefault="00144B72" w:rsidP="00144B72">
        <w:pPr>
          <w:pStyle w:val="Footer"/>
          <w:rPr>
            <w:rFonts w:cs="Joker"/>
            <w:color w:val="002060"/>
            <w:sz w:val="24"/>
            <w:szCs w:val="24"/>
          </w:rPr>
        </w:pPr>
        <w:r w:rsidRPr="00144B72">
          <w:rPr>
            <w:rFonts w:cs="Joker"/>
            <w:color w:val="002060"/>
            <w:sz w:val="24"/>
            <w:szCs w:val="24"/>
          </w:rPr>
          <w:t>Accounting department           Charing Cross 5, London EN301549        Phone: +44 9315555</w:t>
        </w:r>
      </w:p>
      <w:p w14:paraId="1FB7D050" w14:textId="77777777" w:rsidR="00144B72" w:rsidRPr="00144B72" w:rsidRDefault="00144B72" w:rsidP="00144B72">
        <w:pPr>
          <w:pStyle w:val="Footer"/>
          <w:rPr>
            <w:rFonts w:cs="Joker"/>
            <w:color w:val="002060"/>
            <w:sz w:val="24"/>
            <w:szCs w:val="24"/>
          </w:rPr>
        </w:pPr>
      </w:p>
      <w:p w14:paraId="69BF566A" w14:textId="77777777" w:rsidR="00144B72" w:rsidRPr="007659D5" w:rsidRDefault="00144B72" w:rsidP="00144B72">
        <w:pPr>
          <w:pStyle w:val="Footer"/>
          <w:jc w:val="right"/>
          <w:rPr>
            <w:rFonts w:cs="Joker"/>
            <w:sz w:val="21"/>
            <w:szCs w:val="21"/>
          </w:rPr>
        </w:pPr>
        <w:r w:rsidRPr="007659D5">
          <w:rPr>
            <w:rFonts w:cs="Joker"/>
            <w:sz w:val="21"/>
            <w:szCs w:val="21"/>
          </w:rPr>
          <w:fldChar w:fldCharType="begin"/>
        </w:r>
        <w:r w:rsidRPr="007659D5">
          <w:rPr>
            <w:rFonts w:cs="Joker"/>
            <w:sz w:val="21"/>
            <w:szCs w:val="21"/>
          </w:rPr>
          <w:instrText>PAGE   \* MERGEFORMAT</w:instrText>
        </w:r>
        <w:r w:rsidRPr="007659D5">
          <w:rPr>
            <w:rFonts w:cs="Joker"/>
            <w:sz w:val="21"/>
            <w:szCs w:val="21"/>
          </w:rPr>
          <w:fldChar w:fldCharType="separate"/>
        </w:r>
        <w:r>
          <w:rPr>
            <w:rFonts w:cs="Joker"/>
            <w:sz w:val="21"/>
            <w:szCs w:val="21"/>
          </w:rPr>
          <w:t>1</w:t>
        </w:r>
        <w:r w:rsidRPr="007659D5">
          <w:rPr>
            <w:rFonts w:cs="Joker"/>
            <w:sz w:val="21"/>
            <w:szCs w:val="21"/>
          </w:rPr>
          <w:fldChar w:fldCharType="end"/>
        </w:r>
      </w:p>
    </w:sdtContent>
  </w:sdt>
  <w:p w14:paraId="49AA6034" w14:textId="22C2469B" w:rsidR="00231AC4" w:rsidRPr="004351ED" w:rsidRDefault="00231AC4" w:rsidP="00DA0A2F">
    <w:pPr>
      <w:pStyle w:val="Footer"/>
      <w:rPr>
        <w:rFonts w:cs="Joker"/>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Joker"/>
        <w:sz w:val="21"/>
        <w:szCs w:val="21"/>
      </w:rPr>
      <w:id w:val="525598364"/>
      <w:docPartObj>
        <w:docPartGallery w:val="Page Numbers (Bottom of Page)"/>
        <w:docPartUnique/>
      </w:docPartObj>
    </w:sdtPr>
    <w:sdtEndPr/>
    <w:sdtContent>
      <w:p w14:paraId="5329F6F5" w14:textId="77777777" w:rsidR="00144B72" w:rsidRDefault="00144B72" w:rsidP="00144B72">
        <w:pPr>
          <w:pStyle w:val="Footer"/>
          <w:rPr>
            <w:rFonts w:cs="Joker"/>
            <w:sz w:val="21"/>
            <w:szCs w:val="21"/>
          </w:rPr>
        </w:pPr>
      </w:p>
      <w:p w14:paraId="0D32C8F5" w14:textId="0F80629C" w:rsidR="00144B72" w:rsidRDefault="00144B72" w:rsidP="00144B72">
        <w:pPr>
          <w:pStyle w:val="Footer"/>
          <w:rPr>
            <w:rFonts w:cs="Joker"/>
            <w:sz w:val="21"/>
            <w:szCs w:val="21"/>
          </w:rPr>
        </w:pPr>
        <w:r>
          <w:rPr>
            <w:rFonts w:cs="Joker"/>
            <w:sz w:val="21"/>
            <w:szCs w:val="21"/>
          </w:rPr>
          <w:t>----------------------------------------------------------------------------------------------------------------------------------------</w:t>
        </w:r>
      </w:p>
      <w:p w14:paraId="3C943794" w14:textId="38C21078" w:rsidR="00144B72" w:rsidRDefault="00144B72" w:rsidP="00144B72">
        <w:pPr>
          <w:pStyle w:val="Footer"/>
          <w:rPr>
            <w:rFonts w:cs="Joker"/>
            <w:sz w:val="21"/>
            <w:szCs w:val="21"/>
          </w:rPr>
        </w:pPr>
      </w:p>
      <w:p w14:paraId="5A45C011" w14:textId="2F20F914" w:rsidR="00144B72" w:rsidRDefault="00144B72" w:rsidP="00144B72">
        <w:pPr>
          <w:pStyle w:val="Footer"/>
          <w:rPr>
            <w:rFonts w:cs="Joker"/>
            <w:color w:val="002060"/>
            <w:sz w:val="24"/>
            <w:szCs w:val="24"/>
          </w:rPr>
        </w:pPr>
        <w:r w:rsidRPr="00144B72">
          <w:rPr>
            <w:rFonts w:cs="Joker"/>
            <w:color w:val="002060"/>
            <w:sz w:val="24"/>
            <w:szCs w:val="24"/>
          </w:rPr>
          <w:t>Accounting department           Charing Cross 5, London EN301549        Phone: +44 9315555</w:t>
        </w:r>
      </w:p>
      <w:p w14:paraId="1F004F15" w14:textId="77777777" w:rsidR="00144B72" w:rsidRPr="00144B72" w:rsidRDefault="00144B72" w:rsidP="00144B72">
        <w:pPr>
          <w:pStyle w:val="Footer"/>
          <w:rPr>
            <w:rFonts w:cs="Joker"/>
            <w:color w:val="002060"/>
            <w:sz w:val="24"/>
            <w:szCs w:val="24"/>
          </w:rPr>
        </w:pPr>
      </w:p>
      <w:p w14:paraId="400ABE19" w14:textId="40E6221E" w:rsidR="00231AC4" w:rsidRPr="007659D5" w:rsidRDefault="00231AC4" w:rsidP="00DA0A2F">
        <w:pPr>
          <w:pStyle w:val="Footer"/>
          <w:jc w:val="right"/>
          <w:rPr>
            <w:rFonts w:cs="Joker"/>
            <w:sz w:val="21"/>
            <w:szCs w:val="21"/>
          </w:rPr>
        </w:pPr>
        <w:r w:rsidRPr="007659D5">
          <w:rPr>
            <w:rFonts w:cs="Joker"/>
            <w:sz w:val="21"/>
            <w:szCs w:val="21"/>
          </w:rPr>
          <w:fldChar w:fldCharType="begin"/>
        </w:r>
        <w:r w:rsidRPr="007659D5">
          <w:rPr>
            <w:rFonts w:cs="Joker"/>
            <w:sz w:val="21"/>
            <w:szCs w:val="21"/>
          </w:rPr>
          <w:instrText>PAGE   \* MERGEFORMAT</w:instrText>
        </w:r>
        <w:r w:rsidRPr="007659D5">
          <w:rPr>
            <w:rFonts w:cs="Joker"/>
            <w:sz w:val="21"/>
            <w:szCs w:val="21"/>
          </w:rPr>
          <w:fldChar w:fldCharType="separate"/>
        </w:r>
        <w:r w:rsidR="00C70DB7">
          <w:rPr>
            <w:rFonts w:cs="Joker"/>
            <w:noProof/>
            <w:sz w:val="21"/>
            <w:szCs w:val="21"/>
          </w:rPr>
          <w:t>3</w:t>
        </w:r>
        <w:r w:rsidRPr="007659D5">
          <w:rPr>
            <w:rFonts w:cs="Joker"/>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F79449" w14:textId="77777777" w:rsidR="0037648A" w:rsidRDefault="0037648A">
      <w:r>
        <w:separator/>
      </w:r>
    </w:p>
    <w:p w14:paraId="5D00885D" w14:textId="77777777" w:rsidR="0037648A" w:rsidRDefault="0037648A"/>
  </w:footnote>
  <w:footnote w:type="continuationSeparator" w:id="0">
    <w:p w14:paraId="510127DB" w14:textId="77777777" w:rsidR="0037648A" w:rsidRDefault="0037648A">
      <w:r>
        <w:continuationSeparator/>
      </w:r>
    </w:p>
    <w:p w14:paraId="3462D340" w14:textId="77777777" w:rsidR="0037648A" w:rsidRDefault="0037648A"/>
  </w:footnote>
  <w:footnote w:type="continuationNotice" w:id="1">
    <w:p w14:paraId="4C44D18D" w14:textId="77777777" w:rsidR="0037648A" w:rsidRDefault="0037648A"/>
    <w:p w14:paraId="0727F314" w14:textId="77777777" w:rsidR="0037648A" w:rsidRDefault="0037648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AAF89F" w14:textId="77777777" w:rsidR="00231AC4" w:rsidRPr="008E2965" w:rsidRDefault="00231AC4" w:rsidP="000D25F1">
    <w:pPr>
      <w:pStyle w:val="Header"/>
      <w:spacing w:line="300" w:lineRule="exact"/>
      <w:ind w:left="0"/>
      <w:jc w:val="right"/>
      <w:rPr>
        <w:rFonts w:cs="Joker"/>
        <w:b/>
        <w:bCs/>
        <w:sz w:val="24"/>
        <w:szCs w:val="28"/>
      </w:rPr>
    </w:pPr>
    <w:r>
      <w:rPr>
        <w:b/>
        <w:bCs/>
        <w:sz w:val="24"/>
        <w:szCs w:val="28"/>
      </w:rPr>
      <w:t>Risks Report</w:t>
    </w:r>
  </w:p>
  <w:p w14:paraId="3510CE98" w14:textId="77777777" w:rsidR="00231AC4" w:rsidRPr="008E2965" w:rsidRDefault="00231AC4" w:rsidP="00CB0E2F">
    <w:pPr>
      <w:pStyle w:val="Header"/>
      <w:spacing w:line="300" w:lineRule="exact"/>
      <w:ind w:left="0"/>
      <w:jc w:val="right"/>
      <w:rPr>
        <w:rFonts w:cs="Joker"/>
        <w:sz w:val="22"/>
        <w:szCs w:val="24"/>
      </w:rPr>
    </w:pPr>
    <w:r>
      <w:rPr>
        <w:sz w:val="22"/>
        <w:szCs w:val="24"/>
      </w:rPr>
      <w:t>As of March 31, 2019</w:t>
    </w:r>
  </w:p>
  <w:p w14:paraId="60D26719" w14:textId="77777777" w:rsidR="00231AC4" w:rsidRPr="000D25F1" w:rsidRDefault="00231AC4" w:rsidP="000D25F1">
    <w:pPr>
      <w:pStyle w:val="Header"/>
      <w:spacing w:line="300" w:lineRule="exact"/>
      <w:ind w:left="0"/>
      <w:jc w:val="right"/>
      <w:rPr>
        <w:rFonts w:cs="Joker"/>
        <w:sz w:val="22"/>
        <w:szCs w:val="24"/>
      </w:rPr>
    </w:pPr>
  </w:p>
  <w:p w14:paraId="02CA07AC" w14:textId="77777777" w:rsidR="00231AC4" w:rsidRPr="00FA2EB8" w:rsidRDefault="00231AC4" w:rsidP="000D25F1">
    <w:pPr>
      <w:pStyle w:val="Header"/>
      <w:spacing w:line="300" w:lineRule="exact"/>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B8BB5" w14:textId="77777777" w:rsidR="00231AC4" w:rsidRDefault="00231AC4" w:rsidP="00A35C73">
    <w:pPr>
      <w:pStyle w:val="Header"/>
      <w:spacing w:line="300" w:lineRule="exact"/>
      <w:ind w:left="0"/>
      <w:jc w:val="right"/>
      <w:rPr>
        <w:b/>
        <w:bCs/>
        <w:sz w:val="24"/>
        <w:szCs w:val="28"/>
      </w:rPr>
    </w:pPr>
  </w:p>
  <w:p w14:paraId="279B705A" w14:textId="77777777" w:rsidR="00231AC4" w:rsidRDefault="00231AC4" w:rsidP="008E2965">
    <w:pPr>
      <w:pStyle w:val="Header"/>
      <w:spacing w:line="300" w:lineRule="exact"/>
      <w:rPr>
        <w:sz w:val="22"/>
        <w:szCs w:val="24"/>
      </w:rPr>
    </w:pPr>
  </w:p>
  <w:p w14:paraId="1131FF1F" w14:textId="77777777" w:rsidR="00231AC4" w:rsidRDefault="00231AC4" w:rsidP="008E2965">
    <w:pPr>
      <w:pStyle w:val="Header"/>
      <w:spacing w:line="300" w:lineRule="exact"/>
      <w:rPr>
        <w:rtl/>
      </w:rPr>
    </w:pPr>
  </w:p>
  <w:p w14:paraId="4614F43F" w14:textId="77777777" w:rsidR="00231AC4" w:rsidRDefault="00231AC4" w:rsidP="008E2965">
    <w:pPr>
      <w:pStyle w:val="Header"/>
      <w:spacing w:line="30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7F1E41" w14:textId="77777777" w:rsidR="00231AC4" w:rsidRPr="008E2965" w:rsidRDefault="00231AC4" w:rsidP="00C004F8">
    <w:pPr>
      <w:pStyle w:val="Header"/>
      <w:spacing w:line="300" w:lineRule="exact"/>
      <w:ind w:left="0"/>
      <w:jc w:val="right"/>
      <w:rPr>
        <w:rFonts w:cs="Joker"/>
        <w:b/>
        <w:bCs/>
        <w:sz w:val="24"/>
        <w:szCs w:val="28"/>
      </w:rPr>
    </w:pPr>
    <w:r>
      <w:rPr>
        <w:b/>
        <w:bCs/>
        <w:sz w:val="24"/>
        <w:szCs w:val="28"/>
      </w:rPr>
      <w:t>Risks Report</w:t>
    </w:r>
  </w:p>
  <w:p w14:paraId="64B89AAC" w14:textId="77777777" w:rsidR="00231AC4" w:rsidRPr="008E2965" w:rsidRDefault="00231AC4" w:rsidP="00C004F8">
    <w:pPr>
      <w:pStyle w:val="Header"/>
      <w:spacing w:line="300" w:lineRule="exact"/>
      <w:ind w:left="0"/>
      <w:jc w:val="right"/>
      <w:rPr>
        <w:rFonts w:cs="Joker"/>
        <w:sz w:val="22"/>
        <w:szCs w:val="24"/>
      </w:rPr>
    </w:pPr>
    <w:r>
      <w:rPr>
        <w:sz w:val="22"/>
        <w:szCs w:val="24"/>
      </w:rPr>
      <w:t>As of March 31, 2019</w:t>
    </w:r>
  </w:p>
  <w:p w14:paraId="1912AA61" w14:textId="77777777" w:rsidR="00231AC4" w:rsidRPr="000D25F1" w:rsidRDefault="00231AC4" w:rsidP="000D25F1">
    <w:pPr>
      <w:pStyle w:val="Header"/>
      <w:spacing w:line="300" w:lineRule="exact"/>
      <w:ind w:left="0"/>
      <w:jc w:val="right"/>
      <w:rPr>
        <w:rFonts w:cs="Joker"/>
        <w:sz w:val="22"/>
        <w:szCs w:val="24"/>
      </w:rPr>
    </w:pPr>
  </w:p>
  <w:p w14:paraId="7C1F024F" w14:textId="77777777" w:rsidR="00231AC4" w:rsidRPr="00FA2EB8" w:rsidRDefault="00231AC4" w:rsidP="000D25F1">
    <w:pPr>
      <w:pStyle w:val="Header"/>
      <w:spacing w:line="300" w:lineRule="exact"/>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D6CCC786"/>
    <w:lvl w:ilvl="0">
      <w:start w:val="1"/>
      <w:numFmt w:val="chosung"/>
      <w:pStyle w:val="ListBullet"/>
      <w:lvlText w:val=""/>
      <w:lvlJc w:val="center"/>
      <w:pPr>
        <w:tabs>
          <w:tab w:val="num" w:pos="360"/>
        </w:tabs>
        <w:ind w:left="360" w:right="360" w:hanging="360"/>
      </w:pPr>
      <w:rPr>
        <w:rFonts w:ascii="Symbol" w:hAnsi="Symbol" w:hint="default"/>
      </w:rPr>
    </w:lvl>
  </w:abstractNum>
  <w:abstractNum w:abstractNumId="1" w15:restartNumberingAfterBreak="0">
    <w:nsid w:val="09DE34E6"/>
    <w:multiLevelType w:val="hybridMultilevel"/>
    <w:tmpl w:val="8D2C5712"/>
    <w:lvl w:ilvl="0" w:tplc="AD24BC20">
      <w:start w:val="1"/>
      <w:numFmt w:val="bullet"/>
      <w:lvlText w:val=""/>
      <w:lvlJc w:val="left"/>
      <w:pPr>
        <w:tabs>
          <w:tab w:val="num" w:pos="349"/>
        </w:tabs>
        <w:ind w:left="349" w:hanging="349"/>
      </w:pPr>
      <w:rPr>
        <w:rFonts w:ascii="Symbol" w:hAnsi="Symbol" w:hint="default"/>
        <w:color w:val="auto"/>
        <w:sz w:val="18"/>
        <w:szCs w:val="1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8A7EA5"/>
    <w:multiLevelType w:val="multilevel"/>
    <w:tmpl w:val="08306536"/>
    <w:lvl w:ilvl="0">
      <w:start w:val="8"/>
      <w:numFmt w:val="decimal"/>
      <w:lvlText w:val="%1"/>
      <w:lvlJc w:val="left"/>
      <w:pPr>
        <w:tabs>
          <w:tab w:val="num" w:pos="570"/>
        </w:tabs>
        <w:ind w:left="570" w:right="570" w:hanging="570"/>
      </w:pPr>
      <w:rPr>
        <w:rFonts w:hint="cs"/>
      </w:rPr>
    </w:lvl>
    <w:lvl w:ilvl="1">
      <w:start w:val="2"/>
      <w:numFmt w:val="decimal"/>
      <w:lvlText w:val="%1.%2"/>
      <w:lvlJc w:val="left"/>
      <w:pPr>
        <w:tabs>
          <w:tab w:val="num" w:pos="851"/>
        </w:tabs>
        <w:ind w:left="851" w:right="851" w:hanging="1418"/>
      </w:pPr>
      <w:rPr>
        <w:rFonts w:hint="cs"/>
      </w:rPr>
    </w:lvl>
    <w:lvl w:ilvl="2">
      <w:start w:val="1"/>
      <w:numFmt w:val="decimal"/>
      <w:pStyle w:val="Caption"/>
      <w:lvlText w:val="%1.%2.%3"/>
      <w:lvlJc w:val="left"/>
      <w:pPr>
        <w:tabs>
          <w:tab w:val="num" w:pos="851"/>
        </w:tabs>
        <w:ind w:left="851" w:right="851" w:hanging="1418"/>
      </w:pPr>
      <w:rPr>
        <w:rFonts w:hint="cs"/>
      </w:rPr>
    </w:lvl>
    <w:lvl w:ilvl="3">
      <w:start w:val="1"/>
      <w:numFmt w:val="decimal"/>
      <w:lvlText w:val="%1.%2.%3.%4"/>
      <w:lvlJc w:val="left"/>
      <w:pPr>
        <w:tabs>
          <w:tab w:val="num" w:pos="851"/>
        </w:tabs>
        <w:ind w:left="851" w:right="851" w:hanging="1418"/>
      </w:pPr>
      <w:rPr>
        <w:rFonts w:hint="cs"/>
      </w:rPr>
    </w:lvl>
    <w:lvl w:ilvl="4">
      <w:start w:val="1"/>
      <w:numFmt w:val="decimal"/>
      <w:lvlText w:val="%1.%2.%3.%4.%5"/>
      <w:lvlJc w:val="left"/>
      <w:pPr>
        <w:tabs>
          <w:tab w:val="num" w:pos="851"/>
        </w:tabs>
        <w:ind w:left="851" w:right="851" w:hanging="1418"/>
      </w:pPr>
      <w:rPr>
        <w:rFonts w:hint="cs"/>
      </w:rPr>
    </w:lvl>
    <w:lvl w:ilvl="5">
      <w:start w:val="1"/>
      <w:numFmt w:val="decimal"/>
      <w:lvlText w:val="%1.%2.%3.%4.%5.%6"/>
      <w:lvlJc w:val="left"/>
      <w:pPr>
        <w:tabs>
          <w:tab w:val="num" w:pos="851"/>
        </w:tabs>
        <w:ind w:left="851" w:right="851" w:hanging="1418"/>
      </w:pPr>
      <w:rPr>
        <w:rFonts w:hint="cs"/>
      </w:rPr>
    </w:lvl>
    <w:lvl w:ilvl="6">
      <w:start w:val="1"/>
      <w:numFmt w:val="decimal"/>
      <w:lvlText w:val="%1.%2.%3.%4.%5.%6.%7"/>
      <w:lvlJc w:val="left"/>
      <w:pPr>
        <w:tabs>
          <w:tab w:val="num" w:pos="-1962"/>
        </w:tabs>
        <w:ind w:left="-1962" w:right="-1962" w:hanging="1440"/>
      </w:pPr>
      <w:rPr>
        <w:rFonts w:hint="cs"/>
      </w:rPr>
    </w:lvl>
    <w:lvl w:ilvl="7">
      <w:start w:val="1"/>
      <w:numFmt w:val="decimal"/>
      <w:lvlText w:val="%1.%2.%3.%4.%5.%6.%7.%8"/>
      <w:lvlJc w:val="left"/>
      <w:pPr>
        <w:tabs>
          <w:tab w:val="num" w:pos="-2529"/>
        </w:tabs>
        <w:ind w:left="-2529" w:right="-2529" w:hanging="1440"/>
      </w:pPr>
      <w:rPr>
        <w:rFonts w:hint="cs"/>
      </w:rPr>
    </w:lvl>
    <w:lvl w:ilvl="8">
      <w:start w:val="1"/>
      <w:numFmt w:val="decimal"/>
      <w:lvlText w:val="%1.%2.%3.%4.%5.%6.%7.%8.%9"/>
      <w:lvlJc w:val="left"/>
      <w:pPr>
        <w:tabs>
          <w:tab w:val="num" w:pos="-2736"/>
        </w:tabs>
        <w:ind w:left="-2736" w:right="-2736" w:hanging="1800"/>
      </w:pPr>
      <w:rPr>
        <w:rFonts w:hint="cs"/>
      </w:rPr>
    </w:lvl>
  </w:abstractNum>
  <w:abstractNum w:abstractNumId="3" w15:restartNumberingAfterBreak="0">
    <w:nsid w:val="14373DAC"/>
    <w:multiLevelType w:val="hybridMultilevel"/>
    <w:tmpl w:val="2AE4DF2E"/>
    <w:lvl w:ilvl="0" w:tplc="CF86D2C4">
      <w:numFmt w:val="bullet"/>
      <w:lvlText w:val="–"/>
      <w:lvlJc w:val="left"/>
      <w:pPr>
        <w:ind w:left="252" w:hanging="360"/>
      </w:pPr>
      <w:rPr>
        <w:rFonts w:ascii="Arial" w:eastAsia="Times New Roman" w:hAnsi="Arial" w:cs="Arial" w:hint="default"/>
      </w:rPr>
    </w:lvl>
    <w:lvl w:ilvl="1" w:tplc="04090003" w:tentative="1">
      <w:start w:val="1"/>
      <w:numFmt w:val="bullet"/>
      <w:lvlText w:val="o"/>
      <w:lvlJc w:val="left"/>
      <w:pPr>
        <w:ind w:left="972" w:hanging="360"/>
      </w:pPr>
      <w:rPr>
        <w:rFonts w:ascii="Courier New" w:hAnsi="Courier New" w:cs="Courier New" w:hint="default"/>
      </w:rPr>
    </w:lvl>
    <w:lvl w:ilvl="2" w:tplc="04090005" w:tentative="1">
      <w:start w:val="1"/>
      <w:numFmt w:val="bullet"/>
      <w:lvlText w:val=""/>
      <w:lvlJc w:val="left"/>
      <w:pPr>
        <w:ind w:left="1692" w:hanging="360"/>
      </w:pPr>
      <w:rPr>
        <w:rFonts w:ascii="Wingdings" w:hAnsi="Wingdings" w:hint="default"/>
      </w:rPr>
    </w:lvl>
    <w:lvl w:ilvl="3" w:tplc="04090001" w:tentative="1">
      <w:start w:val="1"/>
      <w:numFmt w:val="bullet"/>
      <w:lvlText w:val=""/>
      <w:lvlJc w:val="left"/>
      <w:pPr>
        <w:ind w:left="2412" w:hanging="360"/>
      </w:pPr>
      <w:rPr>
        <w:rFonts w:ascii="Symbol" w:hAnsi="Symbol" w:hint="default"/>
      </w:rPr>
    </w:lvl>
    <w:lvl w:ilvl="4" w:tplc="04090003" w:tentative="1">
      <w:start w:val="1"/>
      <w:numFmt w:val="bullet"/>
      <w:lvlText w:val="o"/>
      <w:lvlJc w:val="left"/>
      <w:pPr>
        <w:ind w:left="3132" w:hanging="360"/>
      </w:pPr>
      <w:rPr>
        <w:rFonts w:ascii="Courier New" w:hAnsi="Courier New" w:cs="Courier New" w:hint="default"/>
      </w:rPr>
    </w:lvl>
    <w:lvl w:ilvl="5" w:tplc="04090005" w:tentative="1">
      <w:start w:val="1"/>
      <w:numFmt w:val="bullet"/>
      <w:lvlText w:val=""/>
      <w:lvlJc w:val="left"/>
      <w:pPr>
        <w:ind w:left="3852" w:hanging="360"/>
      </w:pPr>
      <w:rPr>
        <w:rFonts w:ascii="Wingdings" w:hAnsi="Wingdings" w:hint="default"/>
      </w:rPr>
    </w:lvl>
    <w:lvl w:ilvl="6" w:tplc="04090001" w:tentative="1">
      <w:start w:val="1"/>
      <w:numFmt w:val="bullet"/>
      <w:lvlText w:val=""/>
      <w:lvlJc w:val="left"/>
      <w:pPr>
        <w:ind w:left="4572" w:hanging="360"/>
      </w:pPr>
      <w:rPr>
        <w:rFonts w:ascii="Symbol" w:hAnsi="Symbol" w:hint="default"/>
      </w:rPr>
    </w:lvl>
    <w:lvl w:ilvl="7" w:tplc="04090003" w:tentative="1">
      <w:start w:val="1"/>
      <w:numFmt w:val="bullet"/>
      <w:lvlText w:val="o"/>
      <w:lvlJc w:val="left"/>
      <w:pPr>
        <w:ind w:left="5292" w:hanging="360"/>
      </w:pPr>
      <w:rPr>
        <w:rFonts w:ascii="Courier New" w:hAnsi="Courier New" w:cs="Courier New" w:hint="default"/>
      </w:rPr>
    </w:lvl>
    <w:lvl w:ilvl="8" w:tplc="04090005" w:tentative="1">
      <w:start w:val="1"/>
      <w:numFmt w:val="bullet"/>
      <w:lvlText w:val=""/>
      <w:lvlJc w:val="left"/>
      <w:pPr>
        <w:ind w:left="6012" w:hanging="360"/>
      </w:pPr>
      <w:rPr>
        <w:rFonts w:ascii="Wingdings" w:hAnsi="Wingdings" w:hint="default"/>
      </w:rPr>
    </w:lvl>
  </w:abstractNum>
  <w:abstractNum w:abstractNumId="4" w15:restartNumberingAfterBreak="0">
    <w:nsid w:val="14CA3A13"/>
    <w:multiLevelType w:val="hybridMultilevel"/>
    <w:tmpl w:val="719A9544"/>
    <w:lvl w:ilvl="0" w:tplc="519E8ED8">
      <w:start w:val="1"/>
      <w:numFmt w:val="bullet"/>
      <w:lvlText w:val="-"/>
      <w:lvlJc w:val="left"/>
      <w:pPr>
        <w:ind w:left="612" w:hanging="360"/>
      </w:pPr>
      <w:rPr>
        <w:rFonts w:ascii="Sylfaen" w:hAnsi="Sylfaen"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5" w15:restartNumberingAfterBreak="0">
    <w:nsid w:val="156A4A4C"/>
    <w:multiLevelType w:val="hybridMultilevel"/>
    <w:tmpl w:val="1C6495A2"/>
    <w:lvl w:ilvl="0" w:tplc="0CA0CFE6">
      <w:numFmt w:val="bullet"/>
      <w:lvlText w:val="-"/>
      <w:lvlJc w:val="left"/>
      <w:pPr>
        <w:ind w:left="360" w:hanging="360"/>
      </w:pPr>
      <w:rPr>
        <w:rFonts w:ascii="Arial" w:eastAsia="Times New Roman" w:hAnsi="Arial" w:cs="Arial" w:hint="default"/>
        <w:b/>
        <w:bCs w:val="0"/>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8C161E1"/>
    <w:multiLevelType w:val="hybridMultilevel"/>
    <w:tmpl w:val="8056D802"/>
    <w:lvl w:ilvl="0" w:tplc="519E8ED8">
      <w:start w:val="1"/>
      <w:numFmt w:val="bullet"/>
      <w:lvlText w:val="-"/>
      <w:lvlJc w:val="left"/>
      <w:pPr>
        <w:ind w:left="252" w:hanging="360"/>
      </w:pPr>
      <w:rPr>
        <w:rFonts w:ascii="Sylfaen" w:hAnsi="Sylfaen" w:hint="default"/>
        <w:lang w:bidi="he-IL"/>
      </w:rPr>
    </w:lvl>
    <w:lvl w:ilvl="1" w:tplc="04090003" w:tentative="1">
      <w:start w:val="1"/>
      <w:numFmt w:val="bullet"/>
      <w:lvlText w:val="o"/>
      <w:lvlJc w:val="left"/>
      <w:pPr>
        <w:ind w:left="972" w:hanging="360"/>
      </w:pPr>
      <w:rPr>
        <w:rFonts w:ascii="Courier New" w:hAnsi="Courier New" w:cs="Courier New" w:hint="default"/>
      </w:rPr>
    </w:lvl>
    <w:lvl w:ilvl="2" w:tplc="04090005" w:tentative="1">
      <w:start w:val="1"/>
      <w:numFmt w:val="bullet"/>
      <w:lvlText w:val=""/>
      <w:lvlJc w:val="left"/>
      <w:pPr>
        <w:ind w:left="1692" w:hanging="360"/>
      </w:pPr>
      <w:rPr>
        <w:rFonts w:ascii="Wingdings" w:hAnsi="Wingdings" w:hint="default"/>
      </w:rPr>
    </w:lvl>
    <w:lvl w:ilvl="3" w:tplc="04090001" w:tentative="1">
      <w:start w:val="1"/>
      <w:numFmt w:val="bullet"/>
      <w:lvlText w:val=""/>
      <w:lvlJc w:val="left"/>
      <w:pPr>
        <w:ind w:left="2412" w:hanging="360"/>
      </w:pPr>
      <w:rPr>
        <w:rFonts w:ascii="Symbol" w:hAnsi="Symbol" w:hint="default"/>
      </w:rPr>
    </w:lvl>
    <w:lvl w:ilvl="4" w:tplc="04090003" w:tentative="1">
      <w:start w:val="1"/>
      <w:numFmt w:val="bullet"/>
      <w:lvlText w:val="o"/>
      <w:lvlJc w:val="left"/>
      <w:pPr>
        <w:ind w:left="3132" w:hanging="360"/>
      </w:pPr>
      <w:rPr>
        <w:rFonts w:ascii="Courier New" w:hAnsi="Courier New" w:cs="Courier New" w:hint="default"/>
      </w:rPr>
    </w:lvl>
    <w:lvl w:ilvl="5" w:tplc="04090005" w:tentative="1">
      <w:start w:val="1"/>
      <w:numFmt w:val="bullet"/>
      <w:lvlText w:val=""/>
      <w:lvlJc w:val="left"/>
      <w:pPr>
        <w:ind w:left="3852" w:hanging="360"/>
      </w:pPr>
      <w:rPr>
        <w:rFonts w:ascii="Wingdings" w:hAnsi="Wingdings" w:hint="default"/>
      </w:rPr>
    </w:lvl>
    <w:lvl w:ilvl="6" w:tplc="04090001" w:tentative="1">
      <w:start w:val="1"/>
      <w:numFmt w:val="bullet"/>
      <w:lvlText w:val=""/>
      <w:lvlJc w:val="left"/>
      <w:pPr>
        <w:ind w:left="4572" w:hanging="360"/>
      </w:pPr>
      <w:rPr>
        <w:rFonts w:ascii="Symbol" w:hAnsi="Symbol" w:hint="default"/>
      </w:rPr>
    </w:lvl>
    <w:lvl w:ilvl="7" w:tplc="04090003" w:tentative="1">
      <w:start w:val="1"/>
      <w:numFmt w:val="bullet"/>
      <w:lvlText w:val="o"/>
      <w:lvlJc w:val="left"/>
      <w:pPr>
        <w:ind w:left="5292" w:hanging="360"/>
      </w:pPr>
      <w:rPr>
        <w:rFonts w:ascii="Courier New" w:hAnsi="Courier New" w:cs="Courier New" w:hint="default"/>
      </w:rPr>
    </w:lvl>
    <w:lvl w:ilvl="8" w:tplc="04090005" w:tentative="1">
      <w:start w:val="1"/>
      <w:numFmt w:val="bullet"/>
      <w:lvlText w:val=""/>
      <w:lvlJc w:val="left"/>
      <w:pPr>
        <w:ind w:left="6012" w:hanging="360"/>
      </w:pPr>
      <w:rPr>
        <w:rFonts w:ascii="Wingdings" w:hAnsi="Wingdings" w:hint="default"/>
      </w:rPr>
    </w:lvl>
  </w:abstractNum>
  <w:abstractNum w:abstractNumId="7" w15:restartNumberingAfterBreak="0">
    <w:nsid w:val="20DA023C"/>
    <w:multiLevelType w:val="multilevel"/>
    <w:tmpl w:val="26CCC00C"/>
    <w:lvl w:ilvl="0">
      <w:start w:val="1"/>
      <w:numFmt w:val="decimal"/>
      <w:pStyle w:val="a"/>
      <w:lvlText w:val="%1."/>
      <w:lvlJc w:val="left"/>
      <w:pPr>
        <w:tabs>
          <w:tab w:val="num" w:pos="737"/>
        </w:tabs>
        <w:ind w:left="737" w:right="737" w:hanging="567"/>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hebrew1"/>
      <w:lvlText w:val="%2."/>
      <w:lvlJc w:val="left"/>
      <w:pPr>
        <w:tabs>
          <w:tab w:val="num" w:pos="1418"/>
        </w:tabs>
        <w:ind w:left="1418" w:right="1418" w:hanging="681"/>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2155"/>
        </w:tabs>
        <w:ind w:left="2155" w:right="2155" w:hanging="737"/>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hebrew1"/>
      <w:lvlText w:val="(%4)"/>
      <w:lvlJc w:val="left"/>
      <w:pPr>
        <w:tabs>
          <w:tab w:val="num" w:pos="2892"/>
        </w:tabs>
        <w:ind w:left="2892" w:right="2892" w:hanging="737"/>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3629"/>
        </w:tabs>
        <w:ind w:left="3629" w:right="3629" w:hanging="737"/>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pPr>
        <w:tabs>
          <w:tab w:val="num" w:pos="4320"/>
        </w:tabs>
        <w:ind w:left="4320" w:right="4320" w:hanging="360"/>
      </w:pPr>
      <w:rPr>
        <w:rFonts w:hint="default"/>
      </w:rPr>
    </w:lvl>
    <w:lvl w:ilvl="6">
      <w:start w:val="1"/>
      <w:numFmt w:val="decimal"/>
      <w:lvlText w:val="%7."/>
      <w:lvlJc w:val="left"/>
      <w:pPr>
        <w:tabs>
          <w:tab w:val="num" w:pos="4680"/>
        </w:tabs>
        <w:ind w:left="4680" w:right="4680" w:hanging="360"/>
      </w:pPr>
      <w:rPr>
        <w:rFonts w:hint="default"/>
      </w:rPr>
    </w:lvl>
    <w:lvl w:ilvl="7">
      <w:start w:val="1"/>
      <w:numFmt w:val="lowerLetter"/>
      <w:lvlText w:val="%8."/>
      <w:lvlJc w:val="left"/>
      <w:pPr>
        <w:tabs>
          <w:tab w:val="num" w:pos="5040"/>
        </w:tabs>
        <w:ind w:left="5040" w:right="5040" w:hanging="360"/>
      </w:pPr>
      <w:rPr>
        <w:rFonts w:hint="default"/>
      </w:rPr>
    </w:lvl>
    <w:lvl w:ilvl="8">
      <w:start w:val="1"/>
      <w:numFmt w:val="lowerRoman"/>
      <w:lvlText w:val="%9."/>
      <w:lvlJc w:val="left"/>
      <w:pPr>
        <w:tabs>
          <w:tab w:val="num" w:pos="5400"/>
        </w:tabs>
        <w:ind w:left="5400" w:right="5400" w:hanging="360"/>
      </w:pPr>
      <w:rPr>
        <w:rFonts w:hint="default"/>
      </w:rPr>
    </w:lvl>
  </w:abstractNum>
  <w:abstractNum w:abstractNumId="8" w15:restartNumberingAfterBreak="0">
    <w:nsid w:val="2AC63BAE"/>
    <w:multiLevelType w:val="hybridMultilevel"/>
    <w:tmpl w:val="1C82E848"/>
    <w:lvl w:ilvl="0" w:tplc="C7323EEA">
      <w:numFmt w:val="bullet"/>
      <w:lvlText w:val="-"/>
      <w:lvlJc w:val="left"/>
      <w:pPr>
        <w:ind w:left="252" w:hanging="360"/>
      </w:pPr>
      <w:rPr>
        <w:rFonts w:ascii="Arial" w:eastAsia="Times New Roman" w:hAnsi="Arial" w:cs="Arial" w:hint="default"/>
      </w:rPr>
    </w:lvl>
    <w:lvl w:ilvl="1" w:tplc="04090003" w:tentative="1">
      <w:start w:val="1"/>
      <w:numFmt w:val="bullet"/>
      <w:lvlText w:val="o"/>
      <w:lvlJc w:val="left"/>
      <w:pPr>
        <w:ind w:left="972" w:hanging="360"/>
      </w:pPr>
      <w:rPr>
        <w:rFonts w:ascii="Courier New" w:hAnsi="Courier New" w:cs="Courier New" w:hint="default"/>
      </w:rPr>
    </w:lvl>
    <w:lvl w:ilvl="2" w:tplc="04090005" w:tentative="1">
      <w:start w:val="1"/>
      <w:numFmt w:val="bullet"/>
      <w:lvlText w:val=""/>
      <w:lvlJc w:val="left"/>
      <w:pPr>
        <w:ind w:left="1692" w:hanging="360"/>
      </w:pPr>
      <w:rPr>
        <w:rFonts w:ascii="Wingdings" w:hAnsi="Wingdings" w:hint="default"/>
      </w:rPr>
    </w:lvl>
    <w:lvl w:ilvl="3" w:tplc="04090001" w:tentative="1">
      <w:start w:val="1"/>
      <w:numFmt w:val="bullet"/>
      <w:lvlText w:val=""/>
      <w:lvlJc w:val="left"/>
      <w:pPr>
        <w:ind w:left="2412" w:hanging="360"/>
      </w:pPr>
      <w:rPr>
        <w:rFonts w:ascii="Symbol" w:hAnsi="Symbol" w:hint="default"/>
      </w:rPr>
    </w:lvl>
    <w:lvl w:ilvl="4" w:tplc="04090003" w:tentative="1">
      <w:start w:val="1"/>
      <w:numFmt w:val="bullet"/>
      <w:lvlText w:val="o"/>
      <w:lvlJc w:val="left"/>
      <w:pPr>
        <w:ind w:left="3132" w:hanging="360"/>
      </w:pPr>
      <w:rPr>
        <w:rFonts w:ascii="Courier New" w:hAnsi="Courier New" w:cs="Courier New" w:hint="default"/>
      </w:rPr>
    </w:lvl>
    <w:lvl w:ilvl="5" w:tplc="04090005" w:tentative="1">
      <w:start w:val="1"/>
      <w:numFmt w:val="bullet"/>
      <w:lvlText w:val=""/>
      <w:lvlJc w:val="left"/>
      <w:pPr>
        <w:ind w:left="3852" w:hanging="360"/>
      </w:pPr>
      <w:rPr>
        <w:rFonts w:ascii="Wingdings" w:hAnsi="Wingdings" w:hint="default"/>
      </w:rPr>
    </w:lvl>
    <w:lvl w:ilvl="6" w:tplc="04090001" w:tentative="1">
      <w:start w:val="1"/>
      <w:numFmt w:val="bullet"/>
      <w:lvlText w:val=""/>
      <w:lvlJc w:val="left"/>
      <w:pPr>
        <w:ind w:left="4572" w:hanging="360"/>
      </w:pPr>
      <w:rPr>
        <w:rFonts w:ascii="Symbol" w:hAnsi="Symbol" w:hint="default"/>
      </w:rPr>
    </w:lvl>
    <w:lvl w:ilvl="7" w:tplc="04090003" w:tentative="1">
      <w:start w:val="1"/>
      <w:numFmt w:val="bullet"/>
      <w:lvlText w:val="o"/>
      <w:lvlJc w:val="left"/>
      <w:pPr>
        <w:ind w:left="5292" w:hanging="360"/>
      </w:pPr>
      <w:rPr>
        <w:rFonts w:ascii="Courier New" w:hAnsi="Courier New" w:cs="Courier New" w:hint="default"/>
      </w:rPr>
    </w:lvl>
    <w:lvl w:ilvl="8" w:tplc="04090005" w:tentative="1">
      <w:start w:val="1"/>
      <w:numFmt w:val="bullet"/>
      <w:lvlText w:val=""/>
      <w:lvlJc w:val="left"/>
      <w:pPr>
        <w:ind w:left="6012" w:hanging="360"/>
      </w:pPr>
      <w:rPr>
        <w:rFonts w:ascii="Wingdings" w:hAnsi="Wingdings" w:hint="default"/>
      </w:rPr>
    </w:lvl>
  </w:abstractNum>
  <w:abstractNum w:abstractNumId="9" w15:restartNumberingAfterBreak="0">
    <w:nsid w:val="2C51602A"/>
    <w:multiLevelType w:val="hybridMultilevel"/>
    <w:tmpl w:val="E4729AF8"/>
    <w:lvl w:ilvl="0" w:tplc="519E8ED8">
      <w:start w:val="1"/>
      <w:numFmt w:val="bullet"/>
      <w:lvlText w:val="-"/>
      <w:lvlJc w:val="left"/>
      <w:pPr>
        <w:ind w:left="360" w:hanging="360"/>
      </w:pPr>
      <w:rPr>
        <w:rFonts w:ascii="Sylfaen" w:hAnsi="Sylfae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DE40B8F"/>
    <w:multiLevelType w:val="hybridMultilevel"/>
    <w:tmpl w:val="2A9C2050"/>
    <w:lvl w:ilvl="0" w:tplc="5658E2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DA6257"/>
    <w:multiLevelType w:val="hybridMultilevel"/>
    <w:tmpl w:val="A912CCBE"/>
    <w:lvl w:ilvl="0" w:tplc="519E8ED8">
      <w:start w:val="1"/>
      <w:numFmt w:val="bullet"/>
      <w:lvlText w:val="-"/>
      <w:lvlJc w:val="left"/>
      <w:pPr>
        <w:ind w:left="252" w:hanging="360"/>
      </w:pPr>
      <w:rPr>
        <w:rFonts w:ascii="Sylfaen" w:hAnsi="Sylfaen" w:hint="default"/>
        <w:sz w:val="18"/>
      </w:rPr>
    </w:lvl>
    <w:lvl w:ilvl="1" w:tplc="5B787552">
      <w:start w:val="1"/>
      <w:numFmt w:val="bullet"/>
      <w:lvlText w:val="-"/>
      <w:lvlJc w:val="left"/>
      <w:pPr>
        <w:ind w:left="972" w:hanging="360"/>
      </w:pPr>
      <w:rPr>
        <w:rFonts w:ascii="Sylfaen" w:hAnsi="Sylfaen" w:hint="default"/>
        <w:b/>
        <w:bCs w:val="0"/>
      </w:r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12" w15:restartNumberingAfterBreak="0">
    <w:nsid w:val="445535C5"/>
    <w:multiLevelType w:val="hybridMultilevel"/>
    <w:tmpl w:val="E3F0F2E2"/>
    <w:lvl w:ilvl="0" w:tplc="A89E4734">
      <w:start w:val="44"/>
      <w:numFmt w:val="bullet"/>
      <w:lvlText w:val="-"/>
      <w:lvlJc w:val="left"/>
      <w:pPr>
        <w:ind w:left="252" w:hanging="360"/>
      </w:pPr>
      <w:rPr>
        <w:rFonts w:ascii="Arial" w:eastAsia="Times New Roman" w:hAnsi="Arial" w:cs="Arial" w:hint="default"/>
        <w:b w:val="0"/>
        <w:bCs w:val="0"/>
      </w:rPr>
    </w:lvl>
    <w:lvl w:ilvl="1" w:tplc="6380C0FA">
      <w:numFmt w:val="bullet"/>
      <w:lvlText w:val="-"/>
      <w:lvlJc w:val="left"/>
      <w:pPr>
        <w:ind w:left="972" w:hanging="360"/>
      </w:pPr>
      <w:rPr>
        <w:rFonts w:ascii="Arial" w:eastAsia="Times New Roman" w:hAnsi="Arial" w:hint="default"/>
        <w:sz w:val="18"/>
        <w:lang w:bidi="he-IL"/>
      </w:rPr>
    </w:lvl>
    <w:lvl w:ilvl="2" w:tplc="04090005" w:tentative="1">
      <w:start w:val="1"/>
      <w:numFmt w:val="bullet"/>
      <w:lvlText w:val=""/>
      <w:lvlJc w:val="left"/>
      <w:pPr>
        <w:ind w:left="1692" w:hanging="360"/>
      </w:pPr>
      <w:rPr>
        <w:rFonts w:ascii="Wingdings" w:hAnsi="Wingdings" w:hint="default"/>
      </w:rPr>
    </w:lvl>
    <w:lvl w:ilvl="3" w:tplc="04090001" w:tentative="1">
      <w:start w:val="1"/>
      <w:numFmt w:val="bullet"/>
      <w:lvlText w:val=""/>
      <w:lvlJc w:val="left"/>
      <w:pPr>
        <w:ind w:left="2412" w:hanging="360"/>
      </w:pPr>
      <w:rPr>
        <w:rFonts w:ascii="Symbol" w:hAnsi="Symbol" w:hint="default"/>
      </w:rPr>
    </w:lvl>
    <w:lvl w:ilvl="4" w:tplc="04090003" w:tentative="1">
      <w:start w:val="1"/>
      <w:numFmt w:val="bullet"/>
      <w:lvlText w:val="o"/>
      <w:lvlJc w:val="left"/>
      <w:pPr>
        <w:ind w:left="3132" w:hanging="360"/>
      </w:pPr>
      <w:rPr>
        <w:rFonts w:ascii="Courier New" w:hAnsi="Courier New" w:cs="Courier New" w:hint="default"/>
      </w:rPr>
    </w:lvl>
    <w:lvl w:ilvl="5" w:tplc="04090005" w:tentative="1">
      <w:start w:val="1"/>
      <w:numFmt w:val="bullet"/>
      <w:lvlText w:val=""/>
      <w:lvlJc w:val="left"/>
      <w:pPr>
        <w:ind w:left="3852" w:hanging="360"/>
      </w:pPr>
      <w:rPr>
        <w:rFonts w:ascii="Wingdings" w:hAnsi="Wingdings" w:hint="default"/>
      </w:rPr>
    </w:lvl>
    <w:lvl w:ilvl="6" w:tplc="04090001" w:tentative="1">
      <w:start w:val="1"/>
      <w:numFmt w:val="bullet"/>
      <w:lvlText w:val=""/>
      <w:lvlJc w:val="left"/>
      <w:pPr>
        <w:ind w:left="4572" w:hanging="360"/>
      </w:pPr>
      <w:rPr>
        <w:rFonts w:ascii="Symbol" w:hAnsi="Symbol" w:hint="default"/>
      </w:rPr>
    </w:lvl>
    <w:lvl w:ilvl="7" w:tplc="04090003" w:tentative="1">
      <w:start w:val="1"/>
      <w:numFmt w:val="bullet"/>
      <w:lvlText w:val="o"/>
      <w:lvlJc w:val="left"/>
      <w:pPr>
        <w:ind w:left="5292" w:hanging="360"/>
      </w:pPr>
      <w:rPr>
        <w:rFonts w:ascii="Courier New" w:hAnsi="Courier New" w:cs="Courier New" w:hint="default"/>
      </w:rPr>
    </w:lvl>
    <w:lvl w:ilvl="8" w:tplc="04090005" w:tentative="1">
      <w:start w:val="1"/>
      <w:numFmt w:val="bullet"/>
      <w:lvlText w:val=""/>
      <w:lvlJc w:val="left"/>
      <w:pPr>
        <w:ind w:left="6012" w:hanging="360"/>
      </w:pPr>
      <w:rPr>
        <w:rFonts w:ascii="Wingdings" w:hAnsi="Wingdings" w:hint="default"/>
      </w:rPr>
    </w:lvl>
  </w:abstractNum>
  <w:abstractNum w:abstractNumId="13" w15:restartNumberingAfterBreak="0">
    <w:nsid w:val="496F5FDF"/>
    <w:multiLevelType w:val="hybridMultilevel"/>
    <w:tmpl w:val="724C5234"/>
    <w:lvl w:ilvl="0" w:tplc="4D402838">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14" w15:restartNumberingAfterBreak="0">
    <w:nsid w:val="4C577481"/>
    <w:multiLevelType w:val="hybridMultilevel"/>
    <w:tmpl w:val="95A437E8"/>
    <w:lvl w:ilvl="0" w:tplc="0409000F">
      <w:start w:val="1"/>
      <w:numFmt w:val="decimal"/>
      <w:lvlText w:val="%1."/>
      <w:lvlJc w:val="left"/>
      <w:pPr>
        <w:ind w:left="612" w:hanging="360"/>
      </w:p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15" w15:restartNumberingAfterBreak="0">
    <w:nsid w:val="4CA353C1"/>
    <w:multiLevelType w:val="multilevel"/>
    <w:tmpl w:val="B89EFCF6"/>
    <w:lvl w:ilvl="0">
      <w:start w:val="1"/>
      <w:numFmt w:val="hebrew1"/>
      <w:pStyle w:val="a0"/>
      <w:lvlText w:val="%1."/>
      <w:lvlJc w:val="left"/>
      <w:pPr>
        <w:tabs>
          <w:tab w:val="num" w:pos="1457"/>
        </w:tabs>
        <w:ind w:left="1457" w:right="1457" w:hanging="737"/>
      </w:pPr>
      <w:rPr>
        <w:rFonts w:cs="Arial" w:hint="default"/>
        <w:b w:val="0"/>
        <w:bCs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hebrew1"/>
      <w:lvlText w:val="%2."/>
      <w:lvlJc w:val="left"/>
      <w:pPr>
        <w:tabs>
          <w:tab w:val="num" w:pos="2138"/>
        </w:tabs>
        <w:ind w:left="2138" w:right="2138" w:hanging="681"/>
      </w:pPr>
      <w:rPr>
        <w:rFonts w:ascii="Arial" w:eastAsia="Times New Roman" w:hAnsi="Arial" w:cs="Arial" w:hint="default"/>
        <w:caps w:val="0"/>
        <w:strike w:val="0"/>
        <w:dstrike w:val="0"/>
        <w:vanish w:val="0"/>
        <w:color w:val="000000"/>
        <w:u w:val="none"/>
        <w:vertAlign w:val="baseline"/>
        <w:lang w:val="en-US"/>
        <w14:shadow w14:blurRad="0" w14:dist="0" w14:dir="0" w14:sx="0" w14:sy="0" w14:kx="0" w14:ky="0" w14:algn="none">
          <w14:srgbClr w14:val="000000"/>
        </w14:shadow>
        <w14:textOutline w14:w="0" w14:cap="rnd" w14:cmpd="sng" w14:algn="ctr">
          <w14:noFill/>
          <w14:prstDash w14:val="solid"/>
          <w14:bevel/>
        </w14:textOutline>
      </w:rPr>
    </w:lvl>
    <w:lvl w:ilvl="2">
      <w:start w:val="1"/>
      <w:numFmt w:val="hebrew1"/>
      <w:lvlText w:val="(%3)"/>
      <w:lvlJc w:val="left"/>
      <w:pPr>
        <w:tabs>
          <w:tab w:val="num" w:pos="2875"/>
        </w:tabs>
        <w:ind w:left="2875" w:right="2875" w:hanging="737"/>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tabs>
          <w:tab w:val="num" w:pos="2897"/>
        </w:tabs>
        <w:ind w:left="2897" w:right="2897" w:hanging="737"/>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4349"/>
        </w:tabs>
        <w:ind w:left="4349" w:right="4349" w:hanging="737"/>
      </w:pPr>
      <w:rPr>
        <w:rFonts w:hint="default"/>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pPr>
        <w:tabs>
          <w:tab w:val="num" w:pos="2880"/>
        </w:tabs>
        <w:ind w:left="2880" w:right="2880" w:hanging="360"/>
      </w:pPr>
      <w:rPr>
        <w:rFonts w:hint="default"/>
      </w:rPr>
    </w:lvl>
    <w:lvl w:ilvl="6">
      <w:start w:val="1"/>
      <w:numFmt w:val="decimal"/>
      <w:lvlText w:val="%7."/>
      <w:lvlJc w:val="left"/>
      <w:pPr>
        <w:tabs>
          <w:tab w:val="num" w:pos="3240"/>
        </w:tabs>
        <w:ind w:left="3240" w:right="3240" w:hanging="360"/>
      </w:pPr>
      <w:rPr>
        <w:rFonts w:hint="default"/>
      </w:rPr>
    </w:lvl>
    <w:lvl w:ilvl="7">
      <w:start w:val="1"/>
      <w:numFmt w:val="lowerLetter"/>
      <w:lvlText w:val="%8."/>
      <w:lvlJc w:val="left"/>
      <w:pPr>
        <w:tabs>
          <w:tab w:val="num" w:pos="3600"/>
        </w:tabs>
        <w:ind w:left="3600" w:right="3600" w:hanging="360"/>
      </w:pPr>
      <w:rPr>
        <w:rFonts w:hint="default"/>
      </w:rPr>
    </w:lvl>
    <w:lvl w:ilvl="8">
      <w:start w:val="1"/>
      <w:numFmt w:val="lowerRoman"/>
      <w:lvlText w:val="%9."/>
      <w:lvlJc w:val="left"/>
      <w:pPr>
        <w:tabs>
          <w:tab w:val="num" w:pos="3960"/>
        </w:tabs>
        <w:ind w:left="3960" w:right="3960" w:hanging="360"/>
      </w:pPr>
      <w:rPr>
        <w:rFonts w:hint="default"/>
      </w:rPr>
    </w:lvl>
  </w:abstractNum>
  <w:abstractNum w:abstractNumId="16" w15:restartNumberingAfterBreak="0">
    <w:nsid w:val="4DCB265A"/>
    <w:multiLevelType w:val="hybridMultilevel"/>
    <w:tmpl w:val="1AC0C00E"/>
    <w:lvl w:ilvl="0" w:tplc="7A1E4332">
      <w:start w:val="1"/>
      <w:numFmt w:val="bullet"/>
      <w:pStyle w:val="-2-"/>
      <w:lvlText w:val=""/>
      <w:lvlJc w:val="left"/>
      <w:pPr>
        <w:tabs>
          <w:tab w:val="num" w:pos="1603"/>
        </w:tabs>
        <w:ind w:left="1603" w:hanging="340"/>
      </w:pPr>
      <w:rPr>
        <w:rFonts w:ascii="Symbol" w:hAnsi="Symbol" w:hint="default"/>
      </w:rPr>
    </w:lvl>
    <w:lvl w:ilvl="1" w:tplc="C428DA88">
      <w:start w:val="1"/>
      <w:numFmt w:val="bullet"/>
      <w:lvlText w:val=""/>
      <w:lvlJc w:val="left"/>
      <w:pPr>
        <w:tabs>
          <w:tab w:val="num" w:pos="1821"/>
        </w:tabs>
        <w:ind w:left="1821" w:hanging="340"/>
      </w:pPr>
      <w:rPr>
        <w:rFonts w:ascii="Symbol" w:hAnsi="Symbol" w:hint="default"/>
      </w:rPr>
    </w:lvl>
    <w:lvl w:ilvl="2" w:tplc="0409001B">
      <w:start w:val="1"/>
      <w:numFmt w:val="lowerRoman"/>
      <w:lvlText w:val="%3."/>
      <w:lvlJc w:val="right"/>
      <w:pPr>
        <w:tabs>
          <w:tab w:val="num" w:pos="2561"/>
        </w:tabs>
        <w:ind w:left="2561" w:hanging="180"/>
      </w:pPr>
    </w:lvl>
    <w:lvl w:ilvl="3" w:tplc="0409000F" w:tentative="1">
      <w:start w:val="1"/>
      <w:numFmt w:val="decimal"/>
      <w:lvlText w:val="%4."/>
      <w:lvlJc w:val="left"/>
      <w:pPr>
        <w:tabs>
          <w:tab w:val="num" w:pos="3281"/>
        </w:tabs>
        <w:ind w:left="3281" w:hanging="360"/>
      </w:pPr>
    </w:lvl>
    <w:lvl w:ilvl="4" w:tplc="04090019" w:tentative="1">
      <w:start w:val="1"/>
      <w:numFmt w:val="lowerLetter"/>
      <w:lvlText w:val="%5."/>
      <w:lvlJc w:val="left"/>
      <w:pPr>
        <w:tabs>
          <w:tab w:val="num" w:pos="4001"/>
        </w:tabs>
        <w:ind w:left="4001" w:hanging="360"/>
      </w:pPr>
    </w:lvl>
    <w:lvl w:ilvl="5" w:tplc="0409001B" w:tentative="1">
      <w:start w:val="1"/>
      <w:numFmt w:val="lowerRoman"/>
      <w:lvlText w:val="%6."/>
      <w:lvlJc w:val="right"/>
      <w:pPr>
        <w:tabs>
          <w:tab w:val="num" w:pos="4721"/>
        </w:tabs>
        <w:ind w:left="4721" w:hanging="180"/>
      </w:pPr>
    </w:lvl>
    <w:lvl w:ilvl="6" w:tplc="0409000F" w:tentative="1">
      <w:start w:val="1"/>
      <w:numFmt w:val="decimal"/>
      <w:lvlText w:val="%7."/>
      <w:lvlJc w:val="left"/>
      <w:pPr>
        <w:tabs>
          <w:tab w:val="num" w:pos="5441"/>
        </w:tabs>
        <w:ind w:left="5441" w:hanging="360"/>
      </w:pPr>
    </w:lvl>
    <w:lvl w:ilvl="7" w:tplc="04090019" w:tentative="1">
      <w:start w:val="1"/>
      <w:numFmt w:val="lowerLetter"/>
      <w:lvlText w:val="%8."/>
      <w:lvlJc w:val="left"/>
      <w:pPr>
        <w:tabs>
          <w:tab w:val="num" w:pos="6161"/>
        </w:tabs>
        <w:ind w:left="6161" w:hanging="360"/>
      </w:pPr>
    </w:lvl>
    <w:lvl w:ilvl="8" w:tplc="0409001B" w:tentative="1">
      <w:start w:val="1"/>
      <w:numFmt w:val="lowerRoman"/>
      <w:lvlText w:val="%9."/>
      <w:lvlJc w:val="right"/>
      <w:pPr>
        <w:tabs>
          <w:tab w:val="num" w:pos="6881"/>
        </w:tabs>
        <w:ind w:left="6881" w:hanging="180"/>
      </w:pPr>
    </w:lvl>
  </w:abstractNum>
  <w:abstractNum w:abstractNumId="17" w15:restartNumberingAfterBreak="0">
    <w:nsid w:val="55EC12C2"/>
    <w:multiLevelType w:val="multilevel"/>
    <w:tmpl w:val="151ACE9A"/>
    <w:lvl w:ilvl="0">
      <w:start w:val="1"/>
      <w:numFmt w:val="decimal"/>
      <w:pStyle w:val="1"/>
      <w:lvlText w:val="%1."/>
      <w:lvlJc w:val="left"/>
      <w:pPr>
        <w:tabs>
          <w:tab w:val="num" w:pos="397"/>
        </w:tabs>
        <w:ind w:left="397" w:hanging="397"/>
      </w:pPr>
      <w:rPr>
        <w:rFonts w:hint="default"/>
        <w:sz w:val="24"/>
        <w:szCs w:val="24"/>
      </w:rPr>
    </w:lvl>
    <w:lvl w:ilvl="1">
      <w:start w:val="1"/>
      <w:numFmt w:val="decimal"/>
      <w:pStyle w:val="2"/>
      <w:lvlText w:val="%1.%2."/>
      <w:lvlJc w:val="left"/>
      <w:pPr>
        <w:tabs>
          <w:tab w:val="num" w:pos="1050"/>
        </w:tabs>
        <w:ind w:left="1050" w:hanging="510"/>
      </w:pPr>
      <w:rPr>
        <w:rFonts w:hint="default"/>
      </w:rPr>
    </w:lvl>
    <w:lvl w:ilvl="2">
      <w:start w:val="1"/>
      <w:numFmt w:val="decimal"/>
      <w:pStyle w:val="3"/>
      <w:lvlText w:val="%1.%2.%3."/>
      <w:lvlJc w:val="left"/>
      <w:pPr>
        <w:tabs>
          <w:tab w:val="num" w:pos="1644"/>
        </w:tabs>
        <w:ind w:left="1644" w:hanging="680"/>
      </w:pPr>
      <w:rPr>
        <w:rFonts w:hint="default"/>
      </w:rPr>
    </w:lvl>
    <w:lvl w:ilvl="3">
      <w:start w:val="1"/>
      <w:numFmt w:val="decimal"/>
      <w:pStyle w:val="2"/>
      <w:lvlText w:val="%1.%2.%3.%4."/>
      <w:lvlJc w:val="left"/>
      <w:pPr>
        <w:tabs>
          <w:tab w:val="num" w:pos="2438"/>
        </w:tabs>
        <w:ind w:left="2438" w:hanging="794"/>
      </w:pPr>
      <w:rPr>
        <w:rFonts w:hint="default"/>
        <w:b w:val="0"/>
        <w:i w:val="0"/>
        <w:sz w:val="22"/>
        <w:szCs w:val="22"/>
      </w:rPr>
    </w:lvl>
    <w:lvl w:ilvl="4">
      <w:start w:val="1"/>
      <w:numFmt w:val="decimal"/>
      <w:lvlText w:val="%1.%2.%3.%4.%5."/>
      <w:lvlJc w:val="left"/>
      <w:pPr>
        <w:tabs>
          <w:tab w:val="num" w:pos="5400"/>
        </w:tabs>
        <w:ind w:left="4032" w:hanging="792"/>
      </w:pPr>
      <w:rPr>
        <w:rFonts w:hint="default"/>
      </w:rPr>
    </w:lvl>
    <w:lvl w:ilvl="5">
      <w:start w:val="1"/>
      <w:numFmt w:val="decimal"/>
      <w:lvlText w:val="%1.%2.%3.%4.%5.%6."/>
      <w:lvlJc w:val="left"/>
      <w:pPr>
        <w:tabs>
          <w:tab w:val="num" w:pos="6120"/>
        </w:tabs>
        <w:ind w:left="4536" w:hanging="936"/>
      </w:pPr>
      <w:rPr>
        <w:rFonts w:hint="default"/>
      </w:rPr>
    </w:lvl>
    <w:lvl w:ilvl="6">
      <w:start w:val="1"/>
      <w:numFmt w:val="decimal"/>
      <w:lvlText w:val="%1.%2.%3.%4.%5.%6.%7."/>
      <w:lvlJc w:val="left"/>
      <w:pPr>
        <w:tabs>
          <w:tab w:val="num" w:pos="6840"/>
        </w:tabs>
        <w:ind w:left="5040" w:hanging="1080"/>
      </w:pPr>
      <w:rPr>
        <w:rFonts w:hint="default"/>
      </w:rPr>
    </w:lvl>
    <w:lvl w:ilvl="7">
      <w:start w:val="1"/>
      <w:numFmt w:val="decimal"/>
      <w:lvlText w:val="%1.%2.%3.%4.%5.%6.%7.%8."/>
      <w:lvlJc w:val="left"/>
      <w:pPr>
        <w:tabs>
          <w:tab w:val="num" w:pos="7560"/>
        </w:tabs>
        <w:ind w:left="5544" w:hanging="1224"/>
      </w:pPr>
      <w:rPr>
        <w:rFonts w:hint="default"/>
      </w:rPr>
    </w:lvl>
    <w:lvl w:ilvl="8">
      <w:start w:val="1"/>
      <w:numFmt w:val="decimal"/>
      <w:lvlText w:val="%1.%2.%3.%4.%5.%6.%7.%8.%9."/>
      <w:lvlJc w:val="left"/>
      <w:pPr>
        <w:tabs>
          <w:tab w:val="num" w:pos="8280"/>
        </w:tabs>
        <w:ind w:left="6120" w:hanging="1440"/>
      </w:pPr>
      <w:rPr>
        <w:rFonts w:hint="default"/>
      </w:rPr>
    </w:lvl>
  </w:abstractNum>
  <w:abstractNum w:abstractNumId="18" w15:restartNumberingAfterBreak="0">
    <w:nsid w:val="5C7E0E17"/>
    <w:multiLevelType w:val="hybridMultilevel"/>
    <w:tmpl w:val="53122B9E"/>
    <w:lvl w:ilvl="0" w:tplc="23049B36">
      <w:numFmt w:val="bullet"/>
      <w:lvlText w:val="-"/>
      <w:lvlJc w:val="left"/>
      <w:pPr>
        <w:ind w:left="360" w:hanging="360"/>
      </w:pPr>
      <w:rPr>
        <w:rFonts w:ascii="Arial" w:eastAsia="Times New Roman" w:hAnsi="Arial" w:cs="Arial" w:hint="default"/>
        <w:b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0FF6FA9"/>
    <w:multiLevelType w:val="hybridMultilevel"/>
    <w:tmpl w:val="CAEE81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4461C75"/>
    <w:multiLevelType w:val="hybridMultilevel"/>
    <w:tmpl w:val="3AC2A076"/>
    <w:lvl w:ilvl="0" w:tplc="519E8ED8">
      <w:start w:val="1"/>
      <w:numFmt w:val="bullet"/>
      <w:lvlText w:val="-"/>
      <w:lvlJc w:val="left"/>
      <w:pPr>
        <w:ind w:left="360" w:hanging="360"/>
      </w:pPr>
      <w:rPr>
        <w:rFonts w:ascii="Sylfaen" w:hAnsi="Sylfaen" w:hint="default"/>
      </w:rPr>
    </w:lvl>
    <w:lvl w:ilvl="1" w:tplc="67AA8492">
      <w:numFmt w:val="bullet"/>
      <w:lvlText w:val="-"/>
      <w:lvlJc w:val="left"/>
      <w:pPr>
        <w:ind w:left="1080" w:hanging="360"/>
      </w:pPr>
      <w:rPr>
        <w:rFonts w:ascii="Arial" w:eastAsia="Times New Roman" w:hAnsi="Arial" w:cs="Arial" w:hint="default"/>
        <w:b w:val="0"/>
        <w:bCs w:val="0"/>
        <w:lang w:bidi="he-IL"/>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78826A6"/>
    <w:multiLevelType w:val="hybridMultilevel"/>
    <w:tmpl w:val="BD005838"/>
    <w:lvl w:ilvl="0" w:tplc="49A24C70">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22" w15:restartNumberingAfterBreak="0">
    <w:nsid w:val="712850D4"/>
    <w:multiLevelType w:val="hybridMultilevel"/>
    <w:tmpl w:val="27A0763E"/>
    <w:lvl w:ilvl="0" w:tplc="519E8ED8">
      <w:start w:val="1"/>
      <w:numFmt w:val="bullet"/>
      <w:lvlText w:val="-"/>
      <w:lvlJc w:val="left"/>
      <w:pPr>
        <w:ind w:left="360" w:hanging="360"/>
      </w:pPr>
      <w:rPr>
        <w:rFonts w:ascii="Sylfaen" w:hAnsi="Sylfaen" w:hint="default"/>
        <w:color w:val="auto"/>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47509D3"/>
    <w:multiLevelType w:val="hybridMultilevel"/>
    <w:tmpl w:val="3DCE5C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D9A5145"/>
    <w:multiLevelType w:val="hybridMultilevel"/>
    <w:tmpl w:val="3A66E97A"/>
    <w:lvl w:ilvl="0" w:tplc="519E8ED8">
      <w:start w:val="1"/>
      <w:numFmt w:val="bullet"/>
      <w:lvlText w:val="-"/>
      <w:lvlJc w:val="left"/>
      <w:pPr>
        <w:ind w:left="360" w:hanging="360"/>
      </w:pPr>
      <w:rPr>
        <w:rFonts w:ascii="Sylfaen" w:hAnsi="Sylfae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E5547BF"/>
    <w:multiLevelType w:val="hybridMultilevel"/>
    <w:tmpl w:val="1D8CFF5E"/>
    <w:lvl w:ilvl="0" w:tplc="5B787552">
      <w:start w:val="1"/>
      <w:numFmt w:val="bullet"/>
      <w:lvlText w:val="-"/>
      <w:lvlJc w:val="left"/>
      <w:pPr>
        <w:ind w:left="360" w:hanging="360"/>
      </w:pPr>
      <w:rPr>
        <w:rFonts w:ascii="Sylfaen" w:hAnsi="Sylfaen" w:hint="default"/>
        <w:b/>
        <w:bCs w:val="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5"/>
  </w:num>
  <w:num w:numId="2">
    <w:abstractNumId w:val="7"/>
  </w:num>
  <w:num w:numId="3">
    <w:abstractNumId w:val="0"/>
  </w:num>
  <w:num w:numId="4">
    <w:abstractNumId w:val="2"/>
  </w:num>
  <w:num w:numId="5">
    <w:abstractNumId w:val="17"/>
  </w:num>
  <w:num w:numId="6">
    <w:abstractNumId w:val="25"/>
  </w:num>
  <w:num w:numId="7">
    <w:abstractNumId w:val="24"/>
  </w:num>
  <w:num w:numId="8">
    <w:abstractNumId w:val="18"/>
  </w:num>
  <w:num w:numId="9">
    <w:abstractNumId w:val="9"/>
  </w:num>
  <w:num w:numId="10">
    <w:abstractNumId w:val="10"/>
  </w:num>
  <w:num w:numId="11">
    <w:abstractNumId w:val="1"/>
  </w:num>
  <w:num w:numId="12">
    <w:abstractNumId w:val="23"/>
  </w:num>
  <w:num w:numId="13">
    <w:abstractNumId w:val="8"/>
  </w:num>
  <w:num w:numId="14">
    <w:abstractNumId w:val="16"/>
  </w:num>
  <w:num w:numId="15">
    <w:abstractNumId w:val="11"/>
  </w:num>
  <w:num w:numId="16">
    <w:abstractNumId w:val="12"/>
  </w:num>
  <w:num w:numId="17">
    <w:abstractNumId w:val="20"/>
  </w:num>
  <w:num w:numId="18">
    <w:abstractNumId w:val="4"/>
  </w:num>
  <w:num w:numId="19">
    <w:abstractNumId w:val="13"/>
  </w:num>
  <w:num w:numId="20">
    <w:abstractNumId w:val="5"/>
  </w:num>
  <w:num w:numId="21">
    <w:abstractNumId w:val="22"/>
  </w:num>
  <w:num w:numId="22">
    <w:abstractNumId w:val="21"/>
  </w:num>
  <w:num w:numId="23">
    <w:abstractNumId w:val="6"/>
  </w:num>
  <w:num w:numId="24">
    <w:abstractNumId w:val="14"/>
  </w:num>
  <w:num w:numId="25">
    <w:abstractNumId w:val="3"/>
  </w:num>
  <w:num w:numId="26">
    <w:abstractNumId w:val="1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GrammaticalErrors/>
  <w:activeWritingStyle w:appName="MSWord" w:lang="ar-SA" w:vendorID="64" w:dllVersion="6" w:nlCheck="1" w:checkStyle="0"/>
  <w:activeWritingStyle w:appName="MSWord" w:lang="en-US" w:vendorID="64" w:dllVersion="6" w:nlCheck="1" w:checkStyle="0"/>
  <w:activeWritingStyle w:appName="MSWord" w:lang="en-US" w:vendorID="64" w:dllVersion="0" w:nlCheck="1" w:checkStyle="0"/>
  <w:activeWritingStyle w:appName="MSWord" w:lang="en-US" w:vendorID="64" w:dllVersion="4096" w:nlCheck="1" w:checkStyle="0"/>
  <w:proofState w:spelling="clean" w:grammar="clean"/>
  <w:defaultTabStop w:val="9129"/>
  <w:evenAndOddHeaders/>
  <w:characterSpacingControl w:val="doNotCompress"/>
  <w:hdrShapeDefaults>
    <o:shapedefaults v:ext="edit" spidmax="4097"/>
  </w:hdrShapeDefaults>
  <w:footnotePr>
    <w:pos w:val="beneathText"/>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 12,True,0,0,3,I,3" w:val="@@@"/>
    <w:docVar w:name=" 14,True,0,8630516,3,I,2" w:val="@@@"/>
    <w:docVar w:name=" 20,False,0,14396046,3,I,1" w:val="@@@"/>
    <w:docVar w:name="@@@" w:val="........................................................................................................................................................................................................................................................................................................................................................................................................................................................................................................................................................................................................................................................................................................................................................................................................................................................................................................................................................................................................................................"/>
    <w:docVar w:name="1" w:val="........................................................................................................................................................................................................................................................................................................................................................................................................................................................................................................................................................................................................................................................................................................................................................................................................................................................................................................................................................................................................................................"/>
    <w:docVar w:name="108" w:val="........................................................................................................................................................................................................................................................................................................................................................................................................................................................................................................................................................................................................................................................................................................................................................................................................................................................................................................................................................................................................................................"/>
    <w:docVar w:name="28" w:val="........................................................................................................................................................................................................................................................................................................................................................................................................................................................................................................................................................................................................................................................................................................................................................................................................................................................................................................................................................................................................................................"/>
    <w:docVar w:name="6" w:val="........................................................................................................................................................................................................................................................................................................................................................................................................................................................................................................................................................................................................................................................................................................................................................................................................................................................................................................................................................................................................................................"/>
    <w:docVar w:name="DocTable" w:val="1"/>
    <w:docVar w:name="ParaNumber" w:val="212"/>
  </w:docVars>
  <w:rsids>
    <w:rsidRoot w:val="00952EB2"/>
    <w:rsid w:val="000000B5"/>
    <w:rsid w:val="000006E3"/>
    <w:rsid w:val="000017FC"/>
    <w:rsid w:val="00001D07"/>
    <w:rsid w:val="00002BA3"/>
    <w:rsid w:val="00003879"/>
    <w:rsid w:val="00004281"/>
    <w:rsid w:val="000055A3"/>
    <w:rsid w:val="00005E69"/>
    <w:rsid w:val="00006100"/>
    <w:rsid w:val="00006954"/>
    <w:rsid w:val="000100E9"/>
    <w:rsid w:val="0001105E"/>
    <w:rsid w:val="000128F8"/>
    <w:rsid w:val="000135A5"/>
    <w:rsid w:val="000140EA"/>
    <w:rsid w:val="00014298"/>
    <w:rsid w:val="0001477A"/>
    <w:rsid w:val="0001524A"/>
    <w:rsid w:val="00015BFC"/>
    <w:rsid w:val="00017CC1"/>
    <w:rsid w:val="000203E7"/>
    <w:rsid w:val="000205CC"/>
    <w:rsid w:val="00021F71"/>
    <w:rsid w:val="00025045"/>
    <w:rsid w:val="00026356"/>
    <w:rsid w:val="000266BD"/>
    <w:rsid w:val="00026BD5"/>
    <w:rsid w:val="00030116"/>
    <w:rsid w:val="0003016E"/>
    <w:rsid w:val="000310B4"/>
    <w:rsid w:val="00031F29"/>
    <w:rsid w:val="00032ADF"/>
    <w:rsid w:val="000334A6"/>
    <w:rsid w:val="00034D88"/>
    <w:rsid w:val="00035075"/>
    <w:rsid w:val="00035AB3"/>
    <w:rsid w:val="00036219"/>
    <w:rsid w:val="00036624"/>
    <w:rsid w:val="00036782"/>
    <w:rsid w:val="000400A8"/>
    <w:rsid w:val="00040ED3"/>
    <w:rsid w:val="00041F6B"/>
    <w:rsid w:val="00042876"/>
    <w:rsid w:val="00042B43"/>
    <w:rsid w:val="00042CFD"/>
    <w:rsid w:val="00042E61"/>
    <w:rsid w:val="00042F18"/>
    <w:rsid w:val="00043016"/>
    <w:rsid w:val="000441D5"/>
    <w:rsid w:val="0004634F"/>
    <w:rsid w:val="0004668C"/>
    <w:rsid w:val="00046E32"/>
    <w:rsid w:val="000507DD"/>
    <w:rsid w:val="00050E44"/>
    <w:rsid w:val="00051107"/>
    <w:rsid w:val="00052AED"/>
    <w:rsid w:val="00052B53"/>
    <w:rsid w:val="000539C8"/>
    <w:rsid w:val="00053BE1"/>
    <w:rsid w:val="00053D7D"/>
    <w:rsid w:val="0005404A"/>
    <w:rsid w:val="0005415C"/>
    <w:rsid w:val="00054DC8"/>
    <w:rsid w:val="00055631"/>
    <w:rsid w:val="00056657"/>
    <w:rsid w:val="00056837"/>
    <w:rsid w:val="00056D18"/>
    <w:rsid w:val="00057015"/>
    <w:rsid w:val="000578DC"/>
    <w:rsid w:val="000607A3"/>
    <w:rsid w:val="00060DCB"/>
    <w:rsid w:val="000611D3"/>
    <w:rsid w:val="00061DCB"/>
    <w:rsid w:val="00062AF0"/>
    <w:rsid w:val="000641C1"/>
    <w:rsid w:val="0006464F"/>
    <w:rsid w:val="00064811"/>
    <w:rsid w:val="00065CD0"/>
    <w:rsid w:val="00066E09"/>
    <w:rsid w:val="000670D2"/>
    <w:rsid w:val="000671D8"/>
    <w:rsid w:val="00067ABB"/>
    <w:rsid w:val="00067F4E"/>
    <w:rsid w:val="00070915"/>
    <w:rsid w:val="00070DD2"/>
    <w:rsid w:val="000714BA"/>
    <w:rsid w:val="00071CF6"/>
    <w:rsid w:val="0007230F"/>
    <w:rsid w:val="00072B05"/>
    <w:rsid w:val="0007357D"/>
    <w:rsid w:val="00073660"/>
    <w:rsid w:val="00075747"/>
    <w:rsid w:val="00075C7C"/>
    <w:rsid w:val="0007690E"/>
    <w:rsid w:val="00076B97"/>
    <w:rsid w:val="00080534"/>
    <w:rsid w:val="00080D7B"/>
    <w:rsid w:val="00080E45"/>
    <w:rsid w:val="00081908"/>
    <w:rsid w:val="00081AC2"/>
    <w:rsid w:val="00081F11"/>
    <w:rsid w:val="00081FC0"/>
    <w:rsid w:val="0008265D"/>
    <w:rsid w:val="0008320F"/>
    <w:rsid w:val="00084FF7"/>
    <w:rsid w:val="00085461"/>
    <w:rsid w:val="00085A4A"/>
    <w:rsid w:val="00085D9A"/>
    <w:rsid w:val="00085ECD"/>
    <w:rsid w:val="000860B4"/>
    <w:rsid w:val="00086AF5"/>
    <w:rsid w:val="00090980"/>
    <w:rsid w:val="00090E33"/>
    <w:rsid w:val="000921F6"/>
    <w:rsid w:val="00092455"/>
    <w:rsid w:val="00092511"/>
    <w:rsid w:val="00092596"/>
    <w:rsid w:val="00092951"/>
    <w:rsid w:val="000948FC"/>
    <w:rsid w:val="0009539B"/>
    <w:rsid w:val="00095431"/>
    <w:rsid w:val="00095B30"/>
    <w:rsid w:val="00096C0C"/>
    <w:rsid w:val="000978C9"/>
    <w:rsid w:val="000A004A"/>
    <w:rsid w:val="000A0AE6"/>
    <w:rsid w:val="000A0B4D"/>
    <w:rsid w:val="000A11FF"/>
    <w:rsid w:val="000A1814"/>
    <w:rsid w:val="000A1F1B"/>
    <w:rsid w:val="000A20AB"/>
    <w:rsid w:val="000A294F"/>
    <w:rsid w:val="000A2F4B"/>
    <w:rsid w:val="000A38F2"/>
    <w:rsid w:val="000A4071"/>
    <w:rsid w:val="000A45CC"/>
    <w:rsid w:val="000A48BF"/>
    <w:rsid w:val="000A4CB0"/>
    <w:rsid w:val="000A4DA5"/>
    <w:rsid w:val="000A4E9F"/>
    <w:rsid w:val="000A58B6"/>
    <w:rsid w:val="000A5FB5"/>
    <w:rsid w:val="000A65B3"/>
    <w:rsid w:val="000A6A40"/>
    <w:rsid w:val="000A7A3C"/>
    <w:rsid w:val="000A7AD4"/>
    <w:rsid w:val="000B0997"/>
    <w:rsid w:val="000B20A5"/>
    <w:rsid w:val="000B2A11"/>
    <w:rsid w:val="000B3683"/>
    <w:rsid w:val="000B3BC5"/>
    <w:rsid w:val="000B5006"/>
    <w:rsid w:val="000B55D0"/>
    <w:rsid w:val="000B59A5"/>
    <w:rsid w:val="000B59F0"/>
    <w:rsid w:val="000B64F2"/>
    <w:rsid w:val="000B6592"/>
    <w:rsid w:val="000B6701"/>
    <w:rsid w:val="000C030E"/>
    <w:rsid w:val="000C1457"/>
    <w:rsid w:val="000C14A7"/>
    <w:rsid w:val="000C1DA1"/>
    <w:rsid w:val="000C220A"/>
    <w:rsid w:val="000C29D3"/>
    <w:rsid w:val="000C36EF"/>
    <w:rsid w:val="000C38C1"/>
    <w:rsid w:val="000C3C0D"/>
    <w:rsid w:val="000C4D7F"/>
    <w:rsid w:val="000C5466"/>
    <w:rsid w:val="000C60D8"/>
    <w:rsid w:val="000C6B54"/>
    <w:rsid w:val="000C6C3A"/>
    <w:rsid w:val="000C70FD"/>
    <w:rsid w:val="000C7CB3"/>
    <w:rsid w:val="000C7F01"/>
    <w:rsid w:val="000D061D"/>
    <w:rsid w:val="000D15D7"/>
    <w:rsid w:val="000D1942"/>
    <w:rsid w:val="000D1AD0"/>
    <w:rsid w:val="000D25F1"/>
    <w:rsid w:val="000D2979"/>
    <w:rsid w:val="000D2FFA"/>
    <w:rsid w:val="000D32EF"/>
    <w:rsid w:val="000D3430"/>
    <w:rsid w:val="000D485F"/>
    <w:rsid w:val="000D4C98"/>
    <w:rsid w:val="000D53EF"/>
    <w:rsid w:val="000D5A2F"/>
    <w:rsid w:val="000D670D"/>
    <w:rsid w:val="000D759B"/>
    <w:rsid w:val="000D760C"/>
    <w:rsid w:val="000D7EF6"/>
    <w:rsid w:val="000E094D"/>
    <w:rsid w:val="000E09E5"/>
    <w:rsid w:val="000E15EA"/>
    <w:rsid w:val="000E1F17"/>
    <w:rsid w:val="000E24C3"/>
    <w:rsid w:val="000E3616"/>
    <w:rsid w:val="000E41EF"/>
    <w:rsid w:val="000E47F8"/>
    <w:rsid w:val="000E62DA"/>
    <w:rsid w:val="000E6509"/>
    <w:rsid w:val="000E6747"/>
    <w:rsid w:val="000E6CD2"/>
    <w:rsid w:val="000E7A03"/>
    <w:rsid w:val="000F0AEE"/>
    <w:rsid w:val="000F17B9"/>
    <w:rsid w:val="000F1B8F"/>
    <w:rsid w:val="000F22DC"/>
    <w:rsid w:val="000F2A54"/>
    <w:rsid w:val="000F2C5F"/>
    <w:rsid w:val="000F2FC2"/>
    <w:rsid w:val="000F4946"/>
    <w:rsid w:val="000F63C7"/>
    <w:rsid w:val="000F6FD3"/>
    <w:rsid w:val="000F7CC1"/>
    <w:rsid w:val="00100C8E"/>
    <w:rsid w:val="001010B7"/>
    <w:rsid w:val="00101BC4"/>
    <w:rsid w:val="00101EA3"/>
    <w:rsid w:val="0010324D"/>
    <w:rsid w:val="00104F83"/>
    <w:rsid w:val="00104FA4"/>
    <w:rsid w:val="0010540F"/>
    <w:rsid w:val="001058F2"/>
    <w:rsid w:val="00105CD3"/>
    <w:rsid w:val="00105D2C"/>
    <w:rsid w:val="00106243"/>
    <w:rsid w:val="00106FC5"/>
    <w:rsid w:val="00107D4D"/>
    <w:rsid w:val="00107D4F"/>
    <w:rsid w:val="00107F00"/>
    <w:rsid w:val="00110514"/>
    <w:rsid w:val="00112136"/>
    <w:rsid w:val="00112B37"/>
    <w:rsid w:val="00112E54"/>
    <w:rsid w:val="00112F4C"/>
    <w:rsid w:val="001135DF"/>
    <w:rsid w:val="00113B59"/>
    <w:rsid w:val="0011425D"/>
    <w:rsid w:val="001142CB"/>
    <w:rsid w:val="00114AB9"/>
    <w:rsid w:val="001153B9"/>
    <w:rsid w:val="00115C6F"/>
    <w:rsid w:val="00116874"/>
    <w:rsid w:val="001172AF"/>
    <w:rsid w:val="00117FEF"/>
    <w:rsid w:val="00120559"/>
    <w:rsid w:val="00120F03"/>
    <w:rsid w:val="001210D9"/>
    <w:rsid w:val="0012134B"/>
    <w:rsid w:val="001215FA"/>
    <w:rsid w:val="00121CB4"/>
    <w:rsid w:val="00122205"/>
    <w:rsid w:val="00122C18"/>
    <w:rsid w:val="001260B2"/>
    <w:rsid w:val="001262FF"/>
    <w:rsid w:val="00126E08"/>
    <w:rsid w:val="00127811"/>
    <w:rsid w:val="00127853"/>
    <w:rsid w:val="00127E3A"/>
    <w:rsid w:val="001303B5"/>
    <w:rsid w:val="001312D7"/>
    <w:rsid w:val="00131482"/>
    <w:rsid w:val="001314CE"/>
    <w:rsid w:val="00131FE0"/>
    <w:rsid w:val="001326BB"/>
    <w:rsid w:val="001328CA"/>
    <w:rsid w:val="00132B84"/>
    <w:rsid w:val="00133222"/>
    <w:rsid w:val="0013441C"/>
    <w:rsid w:val="0013559A"/>
    <w:rsid w:val="00135926"/>
    <w:rsid w:val="00135E94"/>
    <w:rsid w:val="00136921"/>
    <w:rsid w:val="00137C20"/>
    <w:rsid w:val="001405A7"/>
    <w:rsid w:val="0014104D"/>
    <w:rsid w:val="00141236"/>
    <w:rsid w:val="001419D6"/>
    <w:rsid w:val="001419FE"/>
    <w:rsid w:val="00141A29"/>
    <w:rsid w:val="00141C90"/>
    <w:rsid w:val="00144B72"/>
    <w:rsid w:val="00146AD9"/>
    <w:rsid w:val="001472FF"/>
    <w:rsid w:val="001474F2"/>
    <w:rsid w:val="001501C3"/>
    <w:rsid w:val="001502C7"/>
    <w:rsid w:val="00150986"/>
    <w:rsid w:val="00150B07"/>
    <w:rsid w:val="00150F90"/>
    <w:rsid w:val="0015191D"/>
    <w:rsid w:val="001529FD"/>
    <w:rsid w:val="00152DDF"/>
    <w:rsid w:val="0015393F"/>
    <w:rsid w:val="00154981"/>
    <w:rsid w:val="0015538C"/>
    <w:rsid w:val="001555C7"/>
    <w:rsid w:val="001567DB"/>
    <w:rsid w:val="001569D0"/>
    <w:rsid w:val="00157C00"/>
    <w:rsid w:val="0016084E"/>
    <w:rsid w:val="0016148D"/>
    <w:rsid w:val="00161832"/>
    <w:rsid w:val="00161D37"/>
    <w:rsid w:val="001641A9"/>
    <w:rsid w:val="0016478D"/>
    <w:rsid w:val="00166657"/>
    <w:rsid w:val="00166B31"/>
    <w:rsid w:val="0016751B"/>
    <w:rsid w:val="00167652"/>
    <w:rsid w:val="00167EC6"/>
    <w:rsid w:val="00171014"/>
    <w:rsid w:val="001710B1"/>
    <w:rsid w:val="001712FF"/>
    <w:rsid w:val="00171D15"/>
    <w:rsid w:val="00171E68"/>
    <w:rsid w:val="001733A7"/>
    <w:rsid w:val="001735E0"/>
    <w:rsid w:val="00174115"/>
    <w:rsid w:val="00175B45"/>
    <w:rsid w:val="00176615"/>
    <w:rsid w:val="0017690E"/>
    <w:rsid w:val="00176D4A"/>
    <w:rsid w:val="00176ECC"/>
    <w:rsid w:val="00177A7B"/>
    <w:rsid w:val="00177D17"/>
    <w:rsid w:val="00180A65"/>
    <w:rsid w:val="00180DCA"/>
    <w:rsid w:val="00181212"/>
    <w:rsid w:val="00182570"/>
    <w:rsid w:val="00182FDD"/>
    <w:rsid w:val="00183F11"/>
    <w:rsid w:val="001847FA"/>
    <w:rsid w:val="001848FF"/>
    <w:rsid w:val="001851DD"/>
    <w:rsid w:val="00185552"/>
    <w:rsid w:val="00185757"/>
    <w:rsid w:val="0018623F"/>
    <w:rsid w:val="00186AF9"/>
    <w:rsid w:val="00187D33"/>
    <w:rsid w:val="001903A7"/>
    <w:rsid w:val="00190AF9"/>
    <w:rsid w:val="001917C1"/>
    <w:rsid w:val="00191FE3"/>
    <w:rsid w:val="00192486"/>
    <w:rsid w:val="001926D3"/>
    <w:rsid w:val="001936BE"/>
    <w:rsid w:val="00193A98"/>
    <w:rsid w:val="00193B6D"/>
    <w:rsid w:val="00194E09"/>
    <w:rsid w:val="00194E9D"/>
    <w:rsid w:val="001950DF"/>
    <w:rsid w:val="0019520A"/>
    <w:rsid w:val="00195620"/>
    <w:rsid w:val="001956AE"/>
    <w:rsid w:val="00195CB6"/>
    <w:rsid w:val="001968CC"/>
    <w:rsid w:val="0019699A"/>
    <w:rsid w:val="001A0FBE"/>
    <w:rsid w:val="001A1C13"/>
    <w:rsid w:val="001A1E13"/>
    <w:rsid w:val="001A26A9"/>
    <w:rsid w:val="001A2FCE"/>
    <w:rsid w:val="001A30B4"/>
    <w:rsid w:val="001A398F"/>
    <w:rsid w:val="001A40F8"/>
    <w:rsid w:val="001A451B"/>
    <w:rsid w:val="001A4EA5"/>
    <w:rsid w:val="001A541A"/>
    <w:rsid w:val="001A554F"/>
    <w:rsid w:val="001A600E"/>
    <w:rsid w:val="001A6BFB"/>
    <w:rsid w:val="001A6FDD"/>
    <w:rsid w:val="001B146B"/>
    <w:rsid w:val="001B17D1"/>
    <w:rsid w:val="001B1C58"/>
    <w:rsid w:val="001B1F62"/>
    <w:rsid w:val="001B24FB"/>
    <w:rsid w:val="001B267C"/>
    <w:rsid w:val="001B39F0"/>
    <w:rsid w:val="001B3B5C"/>
    <w:rsid w:val="001B4473"/>
    <w:rsid w:val="001B50A3"/>
    <w:rsid w:val="001B678B"/>
    <w:rsid w:val="001B67AA"/>
    <w:rsid w:val="001B6AE5"/>
    <w:rsid w:val="001B6B50"/>
    <w:rsid w:val="001B6FEE"/>
    <w:rsid w:val="001C00C9"/>
    <w:rsid w:val="001C064F"/>
    <w:rsid w:val="001C0DD9"/>
    <w:rsid w:val="001C0E67"/>
    <w:rsid w:val="001C1830"/>
    <w:rsid w:val="001C23F1"/>
    <w:rsid w:val="001C2AC0"/>
    <w:rsid w:val="001C3172"/>
    <w:rsid w:val="001C368D"/>
    <w:rsid w:val="001C3760"/>
    <w:rsid w:val="001C3D5C"/>
    <w:rsid w:val="001C4760"/>
    <w:rsid w:val="001C4C28"/>
    <w:rsid w:val="001C4E37"/>
    <w:rsid w:val="001C5189"/>
    <w:rsid w:val="001C5E87"/>
    <w:rsid w:val="001C65A0"/>
    <w:rsid w:val="001C795C"/>
    <w:rsid w:val="001C7DF2"/>
    <w:rsid w:val="001C7E4A"/>
    <w:rsid w:val="001D098B"/>
    <w:rsid w:val="001D112E"/>
    <w:rsid w:val="001D1E95"/>
    <w:rsid w:val="001D1F75"/>
    <w:rsid w:val="001D2247"/>
    <w:rsid w:val="001D238D"/>
    <w:rsid w:val="001D3101"/>
    <w:rsid w:val="001D358B"/>
    <w:rsid w:val="001D36AE"/>
    <w:rsid w:val="001D3C41"/>
    <w:rsid w:val="001D5191"/>
    <w:rsid w:val="001D5314"/>
    <w:rsid w:val="001D591D"/>
    <w:rsid w:val="001D596C"/>
    <w:rsid w:val="001D5C6E"/>
    <w:rsid w:val="001D5D14"/>
    <w:rsid w:val="001D6461"/>
    <w:rsid w:val="001D6F6C"/>
    <w:rsid w:val="001D72A8"/>
    <w:rsid w:val="001E00E1"/>
    <w:rsid w:val="001E05EB"/>
    <w:rsid w:val="001E2B0F"/>
    <w:rsid w:val="001E2BC1"/>
    <w:rsid w:val="001E398C"/>
    <w:rsid w:val="001E596C"/>
    <w:rsid w:val="001E61CD"/>
    <w:rsid w:val="001E67D3"/>
    <w:rsid w:val="001E69E4"/>
    <w:rsid w:val="001E6E2C"/>
    <w:rsid w:val="001E79D7"/>
    <w:rsid w:val="001E7EE8"/>
    <w:rsid w:val="001F0840"/>
    <w:rsid w:val="001F0A7B"/>
    <w:rsid w:val="001F1454"/>
    <w:rsid w:val="001F1A3F"/>
    <w:rsid w:val="001F1EBF"/>
    <w:rsid w:val="001F23CB"/>
    <w:rsid w:val="001F24C0"/>
    <w:rsid w:val="001F28D9"/>
    <w:rsid w:val="001F4134"/>
    <w:rsid w:val="001F58A3"/>
    <w:rsid w:val="001F6E2F"/>
    <w:rsid w:val="001F71C0"/>
    <w:rsid w:val="001F789C"/>
    <w:rsid w:val="001F7CE4"/>
    <w:rsid w:val="00200576"/>
    <w:rsid w:val="0020174F"/>
    <w:rsid w:val="00201D08"/>
    <w:rsid w:val="00202EFC"/>
    <w:rsid w:val="00205D47"/>
    <w:rsid w:val="0020664B"/>
    <w:rsid w:val="0020670E"/>
    <w:rsid w:val="00207F79"/>
    <w:rsid w:val="00211796"/>
    <w:rsid w:val="002119C0"/>
    <w:rsid w:val="00213944"/>
    <w:rsid w:val="00214396"/>
    <w:rsid w:val="00214E63"/>
    <w:rsid w:val="00216030"/>
    <w:rsid w:val="002164DB"/>
    <w:rsid w:val="00216628"/>
    <w:rsid w:val="00216C57"/>
    <w:rsid w:val="00216FE7"/>
    <w:rsid w:val="00217C98"/>
    <w:rsid w:val="00217E6A"/>
    <w:rsid w:val="00217F0F"/>
    <w:rsid w:val="00220752"/>
    <w:rsid w:val="002209AA"/>
    <w:rsid w:val="00220B91"/>
    <w:rsid w:val="0022112A"/>
    <w:rsid w:val="00222CDF"/>
    <w:rsid w:val="0022353B"/>
    <w:rsid w:val="00224DC6"/>
    <w:rsid w:val="00225171"/>
    <w:rsid w:val="00225614"/>
    <w:rsid w:val="00226574"/>
    <w:rsid w:val="002268AF"/>
    <w:rsid w:val="002276B1"/>
    <w:rsid w:val="00227A4C"/>
    <w:rsid w:val="00227FA3"/>
    <w:rsid w:val="00230FD2"/>
    <w:rsid w:val="00231348"/>
    <w:rsid w:val="00231AC4"/>
    <w:rsid w:val="00233B46"/>
    <w:rsid w:val="00233C55"/>
    <w:rsid w:val="002348AC"/>
    <w:rsid w:val="002353D8"/>
    <w:rsid w:val="002359AC"/>
    <w:rsid w:val="00235A95"/>
    <w:rsid w:val="0023691F"/>
    <w:rsid w:val="002414C7"/>
    <w:rsid w:val="0024190B"/>
    <w:rsid w:val="002433CC"/>
    <w:rsid w:val="0024456E"/>
    <w:rsid w:val="0024458F"/>
    <w:rsid w:val="002451F3"/>
    <w:rsid w:val="002452CE"/>
    <w:rsid w:val="00246C1C"/>
    <w:rsid w:val="00247163"/>
    <w:rsid w:val="00247D2E"/>
    <w:rsid w:val="00250647"/>
    <w:rsid w:val="00250774"/>
    <w:rsid w:val="00250ACB"/>
    <w:rsid w:val="0025129B"/>
    <w:rsid w:val="0025171E"/>
    <w:rsid w:val="0025211F"/>
    <w:rsid w:val="002528CA"/>
    <w:rsid w:val="00252E1A"/>
    <w:rsid w:val="00253A71"/>
    <w:rsid w:val="002543BA"/>
    <w:rsid w:val="00254BAB"/>
    <w:rsid w:val="00255228"/>
    <w:rsid w:val="0025539D"/>
    <w:rsid w:val="0025560C"/>
    <w:rsid w:val="00255B84"/>
    <w:rsid w:val="002572FC"/>
    <w:rsid w:val="00257380"/>
    <w:rsid w:val="00257570"/>
    <w:rsid w:val="00257C05"/>
    <w:rsid w:val="00260448"/>
    <w:rsid w:val="00261B18"/>
    <w:rsid w:val="00261C35"/>
    <w:rsid w:val="00262082"/>
    <w:rsid w:val="00263417"/>
    <w:rsid w:val="0026412E"/>
    <w:rsid w:val="00264799"/>
    <w:rsid w:val="00265626"/>
    <w:rsid w:val="002669E3"/>
    <w:rsid w:val="00267B49"/>
    <w:rsid w:val="00267F6D"/>
    <w:rsid w:val="00270D57"/>
    <w:rsid w:val="00271EDA"/>
    <w:rsid w:val="00274658"/>
    <w:rsid w:val="00275106"/>
    <w:rsid w:val="0027588F"/>
    <w:rsid w:val="002759F1"/>
    <w:rsid w:val="00276C55"/>
    <w:rsid w:val="00276DFF"/>
    <w:rsid w:val="002805DF"/>
    <w:rsid w:val="002809C2"/>
    <w:rsid w:val="002823A0"/>
    <w:rsid w:val="00284549"/>
    <w:rsid w:val="00284C29"/>
    <w:rsid w:val="002878BA"/>
    <w:rsid w:val="00287D6C"/>
    <w:rsid w:val="00290A0F"/>
    <w:rsid w:val="00291752"/>
    <w:rsid w:val="00292388"/>
    <w:rsid w:val="002924FC"/>
    <w:rsid w:val="00294609"/>
    <w:rsid w:val="0029460B"/>
    <w:rsid w:val="00294857"/>
    <w:rsid w:val="00294B86"/>
    <w:rsid w:val="002970C1"/>
    <w:rsid w:val="00297748"/>
    <w:rsid w:val="00297C24"/>
    <w:rsid w:val="00297FBA"/>
    <w:rsid w:val="002A1E8A"/>
    <w:rsid w:val="002A246A"/>
    <w:rsid w:val="002A2AAC"/>
    <w:rsid w:val="002A2E66"/>
    <w:rsid w:val="002A2F07"/>
    <w:rsid w:val="002A3A1A"/>
    <w:rsid w:val="002A3E76"/>
    <w:rsid w:val="002A4816"/>
    <w:rsid w:val="002A4B2D"/>
    <w:rsid w:val="002A51F1"/>
    <w:rsid w:val="002A5649"/>
    <w:rsid w:val="002A5CA1"/>
    <w:rsid w:val="002A6B5C"/>
    <w:rsid w:val="002A79E0"/>
    <w:rsid w:val="002B1BF1"/>
    <w:rsid w:val="002B1D16"/>
    <w:rsid w:val="002B1D4F"/>
    <w:rsid w:val="002B1EAA"/>
    <w:rsid w:val="002B26A3"/>
    <w:rsid w:val="002B28B3"/>
    <w:rsid w:val="002B3323"/>
    <w:rsid w:val="002B3AF6"/>
    <w:rsid w:val="002B507A"/>
    <w:rsid w:val="002B5FB2"/>
    <w:rsid w:val="002C061F"/>
    <w:rsid w:val="002C0B90"/>
    <w:rsid w:val="002C0BD6"/>
    <w:rsid w:val="002C0CE5"/>
    <w:rsid w:val="002C27D1"/>
    <w:rsid w:val="002C29B8"/>
    <w:rsid w:val="002C3380"/>
    <w:rsid w:val="002C3F36"/>
    <w:rsid w:val="002C43F5"/>
    <w:rsid w:val="002C4E04"/>
    <w:rsid w:val="002C544A"/>
    <w:rsid w:val="002C57BB"/>
    <w:rsid w:val="002C5D0B"/>
    <w:rsid w:val="002C73AC"/>
    <w:rsid w:val="002C774B"/>
    <w:rsid w:val="002D015C"/>
    <w:rsid w:val="002D0C22"/>
    <w:rsid w:val="002D122A"/>
    <w:rsid w:val="002D18E3"/>
    <w:rsid w:val="002D1B90"/>
    <w:rsid w:val="002D1C61"/>
    <w:rsid w:val="002D2A0B"/>
    <w:rsid w:val="002D3EB1"/>
    <w:rsid w:val="002D403F"/>
    <w:rsid w:val="002D47FD"/>
    <w:rsid w:val="002D4E8E"/>
    <w:rsid w:val="002D4EAC"/>
    <w:rsid w:val="002D5107"/>
    <w:rsid w:val="002D5D71"/>
    <w:rsid w:val="002D6131"/>
    <w:rsid w:val="002D6C67"/>
    <w:rsid w:val="002D7609"/>
    <w:rsid w:val="002D7B0A"/>
    <w:rsid w:val="002E0AF9"/>
    <w:rsid w:val="002E19C4"/>
    <w:rsid w:val="002E228B"/>
    <w:rsid w:val="002E24CC"/>
    <w:rsid w:val="002E2F1D"/>
    <w:rsid w:val="002E35A6"/>
    <w:rsid w:val="002E3837"/>
    <w:rsid w:val="002E3EBA"/>
    <w:rsid w:val="002E44AB"/>
    <w:rsid w:val="002E492F"/>
    <w:rsid w:val="002E4AA1"/>
    <w:rsid w:val="002E563B"/>
    <w:rsid w:val="002E64E4"/>
    <w:rsid w:val="002E67AA"/>
    <w:rsid w:val="002E78DB"/>
    <w:rsid w:val="002E7A89"/>
    <w:rsid w:val="002F0698"/>
    <w:rsid w:val="002F115A"/>
    <w:rsid w:val="002F1CF1"/>
    <w:rsid w:val="002F31C6"/>
    <w:rsid w:val="002F3212"/>
    <w:rsid w:val="002F3266"/>
    <w:rsid w:val="002F369B"/>
    <w:rsid w:val="002F43C7"/>
    <w:rsid w:val="002F43E7"/>
    <w:rsid w:val="002F487F"/>
    <w:rsid w:val="002F5629"/>
    <w:rsid w:val="00300716"/>
    <w:rsid w:val="003029EF"/>
    <w:rsid w:val="0030340C"/>
    <w:rsid w:val="0030374E"/>
    <w:rsid w:val="00303866"/>
    <w:rsid w:val="003044ED"/>
    <w:rsid w:val="003048B9"/>
    <w:rsid w:val="00305596"/>
    <w:rsid w:val="00305E4B"/>
    <w:rsid w:val="00305F8F"/>
    <w:rsid w:val="003068A3"/>
    <w:rsid w:val="00306923"/>
    <w:rsid w:val="00307C5E"/>
    <w:rsid w:val="003129B3"/>
    <w:rsid w:val="0031350A"/>
    <w:rsid w:val="00313DD9"/>
    <w:rsid w:val="003141D1"/>
    <w:rsid w:val="0031438D"/>
    <w:rsid w:val="00314A4C"/>
    <w:rsid w:val="00315123"/>
    <w:rsid w:val="0031577E"/>
    <w:rsid w:val="00317F32"/>
    <w:rsid w:val="00320855"/>
    <w:rsid w:val="00320950"/>
    <w:rsid w:val="00320B14"/>
    <w:rsid w:val="003215CC"/>
    <w:rsid w:val="003223E6"/>
    <w:rsid w:val="003230CE"/>
    <w:rsid w:val="0032315B"/>
    <w:rsid w:val="00324BC6"/>
    <w:rsid w:val="00325CED"/>
    <w:rsid w:val="00326682"/>
    <w:rsid w:val="00326D8B"/>
    <w:rsid w:val="00326FB2"/>
    <w:rsid w:val="0032730A"/>
    <w:rsid w:val="00327FC7"/>
    <w:rsid w:val="003300A5"/>
    <w:rsid w:val="00330FA6"/>
    <w:rsid w:val="00332588"/>
    <w:rsid w:val="003329F3"/>
    <w:rsid w:val="00332A25"/>
    <w:rsid w:val="00333912"/>
    <w:rsid w:val="00334EB6"/>
    <w:rsid w:val="00335708"/>
    <w:rsid w:val="00335D87"/>
    <w:rsid w:val="0033635B"/>
    <w:rsid w:val="0033664E"/>
    <w:rsid w:val="00336B32"/>
    <w:rsid w:val="00336C0B"/>
    <w:rsid w:val="003371AA"/>
    <w:rsid w:val="00337748"/>
    <w:rsid w:val="0034034F"/>
    <w:rsid w:val="00340EA7"/>
    <w:rsid w:val="0034123D"/>
    <w:rsid w:val="003419FB"/>
    <w:rsid w:val="00341C0E"/>
    <w:rsid w:val="00341DB5"/>
    <w:rsid w:val="00341E17"/>
    <w:rsid w:val="00342137"/>
    <w:rsid w:val="00343A84"/>
    <w:rsid w:val="00343B71"/>
    <w:rsid w:val="00343E48"/>
    <w:rsid w:val="00345187"/>
    <w:rsid w:val="003458BA"/>
    <w:rsid w:val="00345EDB"/>
    <w:rsid w:val="003460D3"/>
    <w:rsid w:val="00347B0A"/>
    <w:rsid w:val="00350DE4"/>
    <w:rsid w:val="0035140C"/>
    <w:rsid w:val="00351B8F"/>
    <w:rsid w:val="0035220B"/>
    <w:rsid w:val="0035281B"/>
    <w:rsid w:val="003529D8"/>
    <w:rsid w:val="0035626D"/>
    <w:rsid w:val="00356293"/>
    <w:rsid w:val="003564BF"/>
    <w:rsid w:val="00356B7E"/>
    <w:rsid w:val="00356D13"/>
    <w:rsid w:val="0035744A"/>
    <w:rsid w:val="003577A3"/>
    <w:rsid w:val="00357963"/>
    <w:rsid w:val="00361A29"/>
    <w:rsid w:val="00361ADB"/>
    <w:rsid w:val="0036272F"/>
    <w:rsid w:val="00363FB8"/>
    <w:rsid w:val="0036590D"/>
    <w:rsid w:val="00365B61"/>
    <w:rsid w:val="003666A1"/>
    <w:rsid w:val="00366958"/>
    <w:rsid w:val="003674E7"/>
    <w:rsid w:val="00371032"/>
    <w:rsid w:val="00371641"/>
    <w:rsid w:val="00371646"/>
    <w:rsid w:val="00372A51"/>
    <w:rsid w:val="003732F3"/>
    <w:rsid w:val="003735CD"/>
    <w:rsid w:val="00373EA6"/>
    <w:rsid w:val="00374A14"/>
    <w:rsid w:val="00374DEB"/>
    <w:rsid w:val="00376351"/>
    <w:rsid w:val="0037648A"/>
    <w:rsid w:val="00376CB5"/>
    <w:rsid w:val="00377670"/>
    <w:rsid w:val="003777F5"/>
    <w:rsid w:val="00377A3A"/>
    <w:rsid w:val="00381197"/>
    <w:rsid w:val="0038269A"/>
    <w:rsid w:val="003838C3"/>
    <w:rsid w:val="00383BA0"/>
    <w:rsid w:val="00385226"/>
    <w:rsid w:val="00385B11"/>
    <w:rsid w:val="00385CA8"/>
    <w:rsid w:val="003868C9"/>
    <w:rsid w:val="00387054"/>
    <w:rsid w:val="003874F5"/>
    <w:rsid w:val="003877DC"/>
    <w:rsid w:val="003878DD"/>
    <w:rsid w:val="00387B44"/>
    <w:rsid w:val="00390EC2"/>
    <w:rsid w:val="003927FC"/>
    <w:rsid w:val="00392A8F"/>
    <w:rsid w:val="00392C75"/>
    <w:rsid w:val="0039328C"/>
    <w:rsid w:val="0039425F"/>
    <w:rsid w:val="0039448B"/>
    <w:rsid w:val="0039468C"/>
    <w:rsid w:val="00394B35"/>
    <w:rsid w:val="00394CE0"/>
    <w:rsid w:val="0039532F"/>
    <w:rsid w:val="003955A9"/>
    <w:rsid w:val="00395BF4"/>
    <w:rsid w:val="00395F52"/>
    <w:rsid w:val="0039682E"/>
    <w:rsid w:val="00396949"/>
    <w:rsid w:val="00396BDE"/>
    <w:rsid w:val="00397045"/>
    <w:rsid w:val="0039708B"/>
    <w:rsid w:val="00397538"/>
    <w:rsid w:val="00397D15"/>
    <w:rsid w:val="003A056E"/>
    <w:rsid w:val="003A05F6"/>
    <w:rsid w:val="003A14B2"/>
    <w:rsid w:val="003A2CF8"/>
    <w:rsid w:val="003A2ED3"/>
    <w:rsid w:val="003A35A9"/>
    <w:rsid w:val="003A3B6F"/>
    <w:rsid w:val="003A48D4"/>
    <w:rsid w:val="003A4F61"/>
    <w:rsid w:val="003A5419"/>
    <w:rsid w:val="003A59FE"/>
    <w:rsid w:val="003A720C"/>
    <w:rsid w:val="003A79DD"/>
    <w:rsid w:val="003A7A9B"/>
    <w:rsid w:val="003B0EF3"/>
    <w:rsid w:val="003B25CE"/>
    <w:rsid w:val="003B465A"/>
    <w:rsid w:val="003B5203"/>
    <w:rsid w:val="003B5235"/>
    <w:rsid w:val="003B5436"/>
    <w:rsid w:val="003B7606"/>
    <w:rsid w:val="003C1C90"/>
    <w:rsid w:val="003C27A7"/>
    <w:rsid w:val="003C365D"/>
    <w:rsid w:val="003C3BD7"/>
    <w:rsid w:val="003C401D"/>
    <w:rsid w:val="003C42C5"/>
    <w:rsid w:val="003C42E5"/>
    <w:rsid w:val="003C4A39"/>
    <w:rsid w:val="003C4AB5"/>
    <w:rsid w:val="003C50A9"/>
    <w:rsid w:val="003C55C1"/>
    <w:rsid w:val="003C579F"/>
    <w:rsid w:val="003C5C6E"/>
    <w:rsid w:val="003C5FCC"/>
    <w:rsid w:val="003C67E5"/>
    <w:rsid w:val="003C77A5"/>
    <w:rsid w:val="003C7BD3"/>
    <w:rsid w:val="003C7FEB"/>
    <w:rsid w:val="003D0427"/>
    <w:rsid w:val="003D10CF"/>
    <w:rsid w:val="003D2EF8"/>
    <w:rsid w:val="003D3185"/>
    <w:rsid w:val="003D323A"/>
    <w:rsid w:val="003D372B"/>
    <w:rsid w:val="003D3F34"/>
    <w:rsid w:val="003D55CA"/>
    <w:rsid w:val="003D5E44"/>
    <w:rsid w:val="003D63FF"/>
    <w:rsid w:val="003D6FBF"/>
    <w:rsid w:val="003D7E94"/>
    <w:rsid w:val="003E0B06"/>
    <w:rsid w:val="003E15E7"/>
    <w:rsid w:val="003E1704"/>
    <w:rsid w:val="003E384D"/>
    <w:rsid w:val="003E40BD"/>
    <w:rsid w:val="003E5407"/>
    <w:rsid w:val="003E54C2"/>
    <w:rsid w:val="003E775E"/>
    <w:rsid w:val="003F1360"/>
    <w:rsid w:val="003F16E2"/>
    <w:rsid w:val="003F1BE0"/>
    <w:rsid w:val="003F220B"/>
    <w:rsid w:val="003F2802"/>
    <w:rsid w:val="003F2E37"/>
    <w:rsid w:val="003F2E6A"/>
    <w:rsid w:val="003F3392"/>
    <w:rsid w:val="003F4573"/>
    <w:rsid w:val="003F492E"/>
    <w:rsid w:val="003F4DC8"/>
    <w:rsid w:val="003F55EB"/>
    <w:rsid w:val="003F5F1B"/>
    <w:rsid w:val="003F6E80"/>
    <w:rsid w:val="003F747D"/>
    <w:rsid w:val="003F7882"/>
    <w:rsid w:val="004005C2"/>
    <w:rsid w:val="00400701"/>
    <w:rsid w:val="00400964"/>
    <w:rsid w:val="00401B3D"/>
    <w:rsid w:val="00401E6A"/>
    <w:rsid w:val="004026A6"/>
    <w:rsid w:val="00403FD3"/>
    <w:rsid w:val="004042C9"/>
    <w:rsid w:val="00404301"/>
    <w:rsid w:val="00404CE8"/>
    <w:rsid w:val="004060EC"/>
    <w:rsid w:val="004070E4"/>
    <w:rsid w:val="0041028F"/>
    <w:rsid w:val="00410B89"/>
    <w:rsid w:val="00410BAF"/>
    <w:rsid w:val="00411711"/>
    <w:rsid w:val="00411830"/>
    <w:rsid w:val="00411C0B"/>
    <w:rsid w:val="004123D2"/>
    <w:rsid w:val="00412C0F"/>
    <w:rsid w:val="00412E62"/>
    <w:rsid w:val="00414062"/>
    <w:rsid w:val="004149DF"/>
    <w:rsid w:val="00414F04"/>
    <w:rsid w:val="00415127"/>
    <w:rsid w:val="00415563"/>
    <w:rsid w:val="00415EB8"/>
    <w:rsid w:val="004165E2"/>
    <w:rsid w:val="00416603"/>
    <w:rsid w:val="0041674F"/>
    <w:rsid w:val="0041682C"/>
    <w:rsid w:val="00416A81"/>
    <w:rsid w:val="004179A9"/>
    <w:rsid w:val="004217E8"/>
    <w:rsid w:val="004219CF"/>
    <w:rsid w:val="00425511"/>
    <w:rsid w:val="00425642"/>
    <w:rsid w:val="00425C44"/>
    <w:rsid w:val="004269E3"/>
    <w:rsid w:val="00426A79"/>
    <w:rsid w:val="00426D9F"/>
    <w:rsid w:val="00427780"/>
    <w:rsid w:val="004277C4"/>
    <w:rsid w:val="00427D68"/>
    <w:rsid w:val="0043066C"/>
    <w:rsid w:val="004306A4"/>
    <w:rsid w:val="00430BC1"/>
    <w:rsid w:val="0043133C"/>
    <w:rsid w:val="00431867"/>
    <w:rsid w:val="00432778"/>
    <w:rsid w:val="00433268"/>
    <w:rsid w:val="0043345F"/>
    <w:rsid w:val="004335A9"/>
    <w:rsid w:val="004337F8"/>
    <w:rsid w:val="004348C8"/>
    <w:rsid w:val="00434BD1"/>
    <w:rsid w:val="004351ED"/>
    <w:rsid w:val="004354FC"/>
    <w:rsid w:val="00435BAD"/>
    <w:rsid w:val="00436507"/>
    <w:rsid w:val="00436D98"/>
    <w:rsid w:val="00437C8C"/>
    <w:rsid w:val="00440621"/>
    <w:rsid w:val="00440C47"/>
    <w:rsid w:val="00440F77"/>
    <w:rsid w:val="0044106F"/>
    <w:rsid w:val="00441C81"/>
    <w:rsid w:val="00443411"/>
    <w:rsid w:val="00443660"/>
    <w:rsid w:val="00444E39"/>
    <w:rsid w:val="0044624A"/>
    <w:rsid w:val="0044679A"/>
    <w:rsid w:val="00446D0C"/>
    <w:rsid w:val="00446DEB"/>
    <w:rsid w:val="00447CB0"/>
    <w:rsid w:val="00447DC0"/>
    <w:rsid w:val="00447FC7"/>
    <w:rsid w:val="0045089A"/>
    <w:rsid w:val="00450AA9"/>
    <w:rsid w:val="00452340"/>
    <w:rsid w:val="004523C0"/>
    <w:rsid w:val="004531FE"/>
    <w:rsid w:val="004532AD"/>
    <w:rsid w:val="00453512"/>
    <w:rsid w:val="0045446D"/>
    <w:rsid w:val="00454B7A"/>
    <w:rsid w:val="00455192"/>
    <w:rsid w:val="00455B03"/>
    <w:rsid w:val="004561D8"/>
    <w:rsid w:val="0045687E"/>
    <w:rsid w:val="00456BCB"/>
    <w:rsid w:val="004570BE"/>
    <w:rsid w:val="004577CF"/>
    <w:rsid w:val="00457C0E"/>
    <w:rsid w:val="004607DF"/>
    <w:rsid w:val="004609FB"/>
    <w:rsid w:val="004610E0"/>
    <w:rsid w:val="0046126A"/>
    <w:rsid w:val="004618E1"/>
    <w:rsid w:val="00462135"/>
    <w:rsid w:val="00462492"/>
    <w:rsid w:val="00462EE4"/>
    <w:rsid w:val="00464098"/>
    <w:rsid w:val="00464730"/>
    <w:rsid w:val="00464DA5"/>
    <w:rsid w:val="00464ED0"/>
    <w:rsid w:val="004654FC"/>
    <w:rsid w:val="004660CE"/>
    <w:rsid w:val="00466124"/>
    <w:rsid w:val="00466273"/>
    <w:rsid w:val="0046684D"/>
    <w:rsid w:val="00466F32"/>
    <w:rsid w:val="004670FF"/>
    <w:rsid w:val="004677F8"/>
    <w:rsid w:val="00471B16"/>
    <w:rsid w:val="00472B07"/>
    <w:rsid w:val="00473AC0"/>
    <w:rsid w:val="00473ADC"/>
    <w:rsid w:val="00474CAA"/>
    <w:rsid w:val="00475538"/>
    <w:rsid w:val="004760BD"/>
    <w:rsid w:val="004768A0"/>
    <w:rsid w:val="004768CA"/>
    <w:rsid w:val="00476988"/>
    <w:rsid w:val="0048061F"/>
    <w:rsid w:val="00480A73"/>
    <w:rsid w:val="004824FA"/>
    <w:rsid w:val="004826CC"/>
    <w:rsid w:val="004831C0"/>
    <w:rsid w:val="00483943"/>
    <w:rsid w:val="00483E23"/>
    <w:rsid w:val="00483EF7"/>
    <w:rsid w:val="00484366"/>
    <w:rsid w:val="004859E8"/>
    <w:rsid w:val="0048734D"/>
    <w:rsid w:val="00490B2D"/>
    <w:rsid w:val="00491802"/>
    <w:rsid w:val="00491B91"/>
    <w:rsid w:val="00493C78"/>
    <w:rsid w:val="004948C9"/>
    <w:rsid w:val="00494C39"/>
    <w:rsid w:val="00494DFF"/>
    <w:rsid w:val="00496B52"/>
    <w:rsid w:val="00497FEB"/>
    <w:rsid w:val="004A0394"/>
    <w:rsid w:val="004A0B98"/>
    <w:rsid w:val="004A0F98"/>
    <w:rsid w:val="004A113F"/>
    <w:rsid w:val="004A155D"/>
    <w:rsid w:val="004A2833"/>
    <w:rsid w:val="004A2F52"/>
    <w:rsid w:val="004A3BED"/>
    <w:rsid w:val="004A475D"/>
    <w:rsid w:val="004A4C98"/>
    <w:rsid w:val="004A5598"/>
    <w:rsid w:val="004A6FED"/>
    <w:rsid w:val="004B016B"/>
    <w:rsid w:val="004B07C2"/>
    <w:rsid w:val="004B0997"/>
    <w:rsid w:val="004B0B70"/>
    <w:rsid w:val="004B16DA"/>
    <w:rsid w:val="004B2136"/>
    <w:rsid w:val="004B2AE0"/>
    <w:rsid w:val="004B2F90"/>
    <w:rsid w:val="004B30E2"/>
    <w:rsid w:val="004B331F"/>
    <w:rsid w:val="004B378D"/>
    <w:rsid w:val="004B43BB"/>
    <w:rsid w:val="004B607B"/>
    <w:rsid w:val="004B6221"/>
    <w:rsid w:val="004B6DC5"/>
    <w:rsid w:val="004B724F"/>
    <w:rsid w:val="004B739A"/>
    <w:rsid w:val="004B77BE"/>
    <w:rsid w:val="004B79DD"/>
    <w:rsid w:val="004B7C0B"/>
    <w:rsid w:val="004C0475"/>
    <w:rsid w:val="004C10BB"/>
    <w:rsid w:val="004C1153"/>
    <w:rsid w:val="004C1550"/>
    <w:rsid w:val="004C1ACF"/>
    <w:rsid w:val="004C1CA6"/>
    <w:rsid w:val="004C21B9"/>
    <w:rsid w:val="004C3923"/>
    <w:rsid w:val="004C405A"/>
    <w:rsid w:val="004C4CB9"/>
    <w:rsid w:val="004C5101"/>
    <w:rsid w:val="004C56B5"/>
    <w:rsid w:val="004C6D3C"/>
    <w:rsid w:val="004C72AC"/>
    <w:rsid w:val="004C7511"/>
    <w:rsid w:val="004C7CA7"/>
    <w:rsid w:val="004C7CB3"/>
    <w:rsid w:val="004C7E97"/>
    <w:rsid w:val="004D0687"/>
    <w:rsid w:val="004D07F3"/>
    <w:rsid w:val="004D12F1"/>
    <w:rsid w:val="004D1579"/>
    <w:rsid w:val="004D1E60"/>
    <w:rsid w:val="004D20DF"/>
    <w:rsid w:val="004D21C7"/>
    <w:rsid w:val="004D27CB"/>
    <w:rsid w:val="004D2F79"/>
    <w:rsid w:val="004D361F"/>
    <w:rsid w:val="004D37BA"/>
    <w:rsid w:val="004D3D3F"/>
    <w:rsid w:val="004D3EF5"/>
    <w:rsid w:val="004D43A4"/>
    <w:rsid w:val="004D4764"/>
    <w:rsid w:val="004D6525"/>
    <w:rsid w:val="004D66AF"/>
    <w:rsid w:val="004D6B0B"/>
    <w:rsid w:val="004D6C75"/>
    <w:rsid w:val="004D7522"/>
    <w:rsid w:val="004D7C83"/>
    <w:rsid w:val="004D7F77"/>
    <w:rsid w:val="004E0B8D"/>
    <w:rsid w:val="004E352B"/>
    <w:rsid w:val="004E357F"/>
    <w:rsid w:val="004E37E2"/>
    <w:rsid w:val="004E61E5"/>
    <w:rsid w:val="004E681D"/>
    <w:rsid w:val="004E682D"/>
    <w:rsid w:val="004E7381"/>
    <w:rsid w:val="004F0AA6"/>
    <w:rsid w:val="004F133B"/>
    <w:rsid w:val="004F159C"/>
    <w:rsid w:val="004F1F5B"/>
    <w:rsid w:val="004F2051"/>
    <w:rsid w:val="004F2D03"/>
    <w:rsid w:val="004F32C1"/>
    <w:rsid w:val="004F3D57"/>
    <w:rsid w:val="004F49E3"/>
    <w:rsid w:val="004F4F29"/>
    <w:rsid w:val="004F5505"/>
    <w:rsid w:val="004F5852"/>
    <w:rsid w:val="004F76C2"/>
    <w:rsid w:val="00500B7D"/>
    <w:rsid w:val="005015BA"/>
    <w:rsid w:val="00501600"/>
    <w:rsid w:val="0050179C"/>
    <w:rsid w:val="00501894"/>
    <w:rsid w:val="00501C05"/>
    <w:rsid w:val="005022A1"/>
    <w:rsid w:val="005026BD"/>
    <w:rsid w:val="0050288F"/>
    <w:rsid w:val="00502AD2"/>
    <w:rsid w:val="00502BEA"/>
    <w:rsid w:val="00503846"/>
    <w:rsid w:val="00503A99"/>
    <w:rsid w:val="00503D7D"/>
    <w:rsid w:val="00503F29"/>
    <w:rsid w:val="00504A51"/>
    <w:rsid w:val="00504F28"/>
    <w:rsid w:val="00505A6E"/>
    <w:rsid w:val="00506895"/>
    <w:rsid w:val="00507A90"/>
    <w:rsid w:val="00507C6E"/>
    <w:rsid w:val="00510756"/>
    <w:rsid w:val="00511A03"/>
    <w:rsid w:val="00513192"/>
    <w:rsid w:val="00513379"/>
    <w:rsid w:val="00514120"/>
    <w:rsid w:val="00514198"/>
    <w:rsid w:val="00514680"/>
    <w:rsid w:val="005147CB"/>
    <w:rsid w:val="00514A46"/>
    <w:rsid w:val="00514DB8"/>
    <w:rsid w:val="00515731"/>
    <w:rsid w:val="005158F8"/>
    <w:rsid w:val="00516FC1"/>
    <w:rsid w:val="005174C8"/>
    <w:rsid w:val="00520633"/>
    <w:rsid w:val="00521876"/>
    <w:rsid w:val="005241BD"/>
    <w:rsid w:val="0052434E"/>
    <w:rsid w:val="00526044"/>
    <w:rsid w:val="005261C9"/>
    <w:rsid w:val="0052688C"/>
    <w:rsid w:val="005276D3"/>
    <w:rsid w:val="00530B81"/>
    <w:rsid w:val="00530EEA"/>
    <w:rsid w:val="0053121B"/>
    <w:rsid w:val="00531647"/>
    <w:rsid w:val="00532306"/>
    <w:rsid w:val="005329BB"/>
    <w:rsid w:val="00533219"/>
    <w:rsid w:val="005335B0"/>
    <w:rsid w:val="0053421E"/>
    <w:rsid w:val="00535450"/>
    <w:rsid w:val="00535AAA"/>
    <w:rsid w:val="00535E12"/>
    <w:rsid w:val="00536C14"/>
    <w:rsid w:val="0053750A"/>
    <w:rsid w:val="00537B63"/>
    <w:rsid w:val="00540409"/>
    <w:rsid w:val="00540B80"/>
    <w:rsid w:val="005421CA"/>
    <w:rsid w:val="0054230C"/>
    <w:rsid w:val="00544191"/>
    <w:rsid w:val="00544B40"/>
    <w:rsid w:val="00544FB2"/>
    <w:rsid w:val="00545912"/>
    <w:rsid w:val="00550269"/>
    <w:rsid w:val="0055134D"/>
    <w:rsid w:val="00551698"/>
    <w:rsid w:val="00552093"/>
    <w:rsid w:val="00552264"/>
    <w:rsid w:val="00552BB0"/>
    <w:rsid w:val="005533AB"/>
    <w:rsid w:val="00553619"/>
    <w:rsid w:val="0055375A"/>
    <w:rsid w:val="00554777"/>
    <w:rsid w:val="00555DB4"/>
    <w:rsid w:val="00556471"/>
    <w:rsid w:val="00556497"/>
    <w:rsid w:val="00556D81"/>
    <w:rsid w:val="00557090"/>
    <w:rsid w:val="00557172"/>
    <w:rsid w:val="0055751C"/>
    <w:rsid w:val="0056025E"/>
    <w:rsid w:val="00561879"/>
    <w:rsid w:val="00562462"/>
    <w:rsid w:val="005629F0"/>
    <w:rsid w:val="00563194"/>
    <w:rsid w:val="005636D4"/>
    <w:rsid w:val="005642DF"/>
    <w:rsid w:val="0056660A"/>
    <w:rsid w:val="00566847"/>
    <w:rsid w:val="005668FB"/>
    <w:rsid w:val="0056767A"/>
    <w:rsid w:val="00571996"/>
    <w:rsid w:val="00571A20"/>
    <w:rsid w:val="00571FAA"/>
    <w:rsid w:val="00572263"/>
    <w:rsid w:val="00572E5A"/>
    <w:rsid w:val="00573071"/>
    <w:rsid w:val="005731D5"/>
    <w:rsid w:val="0057368C"/>
    <w:rsid w:val="005745BD"/>
    <w:rsid w:val="00574692"/>
    <w:rsid w:val="00574909"/>
    <w:rsid w:val="00574D45"/>
    <w:rsid w:val="00575C3A"/>
    <w:rsid w:val="0057677F"/>
    <w:rsid w:val="00576A41"/>
    <w:rsid w:val="0057792A"/>
    <w:rsid w:val="00577C27"/>
    <w:rsid w:val="00581A78"/>
    <w:rsid w:val="00581D29"/>
    <w:rsid w:val="00582813"/>
    <w:rsid w:val="00582925"/>
    <w:rsid w:val="00582E53"/>
    <w:rsid w:val="005838E7"/>
    <w:rsid w:val="0058449A"/>
    <w:rsid w:val="005857A7"/>
    <w:rsid w:val="00586828"/>
    <w:rsid w:val="00587037"/>
    <w:rsid w:val="0058718F"/>
    <w:rsid w:val="00587742"/>
    <w:rsid w:val="0058789D"/>
    <w:rsid w:val="005878DB"/>
    <w:rsid w:val="00590040"/>
    <w:rsid w:val="005903A7"/>
    <w:rsid w:val="00590FB9"/>
    <w:rsid w:val="00591224"/>
    <w:rsid w:val="00591307"/>
    <w:rsid w:val="00591800"/>
    <w:rsid w:val="00592CE3"/>
    <w:rsid w:val="00592E18"/>
    <w:rsid w:val="005948EC"/>
    <w:rsid w:val="005949EC"/>
    <w:rsid w:val="005950F9"/>
    <w:rsid w:val="00595484"/>
    <w:rsid w:val="005958ED"/>
    <w:rsid w:val="00595955"/>
    <w:rsid w:val="00596002"/>
    <w:rsid w:val="0059681A"/>
    <w:rsid w:val="00597096"/>
    <w:rsid w:val="005A006F"/>
    <w:rsid w:val="005A009C"/>
    <w:rsid w:val="005A0BF9"/>
    <w:rsid w:val="005A0E02"/>
    <w:rsid w:val="005A1959"/>
    <w:rsid w:val="005A1CF6"/>
    <w:rsid w:val="005A293E"/>
    <w:rsid w:val="005A3A69"/>
    <w:rsid w:val="005A4DB1"/>
    <w:rsid w:val="005A5137"/>
    <w:rsid w:val="005A5213"/>
    <w:rsid w:val="005A541A"/>
    <w:rsid w:val="005A5A25"/>
    <w:rsid w:val="005A788C"/>
    <w:rsid w:val="005A7B9C"/>
    <w:rsid w:val="005B036F"/>
    <w:rsid w:val="005B0D22"/>
    <w:rsid w:val="005B12BE"/>
    <w:rsid w:val="005B1494"/>
    <w:rsid w:val="005B1703"/>
    <w:rsid w:val="005B17B0"/>
    <w:rsid w:val="005B326B"/>
    <w:rsid w:val="005B363C"/>
    <w:rsid w:val="005B367E"/>
    <w:rsid w:val="005B42AD"/>
    <w:rsid w:val="005B54DB"/>
    <w:rsid w:val="005B5D09"/>
    <w:rsid w:val="005B5E98"/>
    <w:rsid w:val="005B6502"/>
    <w:rsid w:val="005B674A"/>
    <w:rsid w:val="005B6F16"/>
    <w:rsid w:val="005B74CD"/>
    <w:rsid w:val="005C0120"/>
    <w:rsid w:val="005C1467"/>
    <w:rsid w:val="005C15F0"/>
    <w:rsid w:val="005C1B0C"/>
    <w:rsid w:val="005C2187"/>
    <w:rsid w:val="005C2861"/>
    <w:rsid w:val="005C2E07"/>
    <w:rsid w:val="005C2EA2"/>
    <w:rsid w:val="005C3C3F"/>
    <w:rsid w:val="005C4C51"/>
    <w:rsid w:val="005C4D5A"/>
    <w:rsid w:val="005C590B"/>
    <w:rsid w:val="005C5BF3"/>
    <w:rsid w:val="005C6039"/>
    <w:rsid w:val="005C673B"/>
    <w:rsid w:val="005C6D3E"/>
    <w:rsid w:val="005C74E5"/>
    <w:rsid w:val="005C79C7"/>
    <w:rsid w:val="005D1AEE"/>
    <w:rsid w:val="005D51EC"/>
    <w:rsid w:val="005D54C3"/>
    <w:rsid w:val="005D567A"/>
    <w:rsid w:val="005D58A4"/>
    <w:rsid w:val="005D5A60"/>
    <w:rsid w:val="005D69C0"/>
    <w:rsid w:val="005D6A02"/>
    <w:rsid w:val="005E03F4"/>
    <w:rsid w:val="005E0F7E"/>
    <w:rsid w:val="005E2754"/>
    <w:rsid w:val="005E28CD"/>
    <w:rsid w:val="005E2B9E"/>
    <w:rsid w:val="005E2D2B"/>
    <w:rsid w:val="005E373C"/>
    <w:rsid w:val="005E37C0"/>
    <w:rsid w:val="005E39FD"/>
    <w:rsid w:val="005E5391"/>
    <w:rsid w:val="005E6BAC"/>
    <w:rsid w:val="005E735E"/>
    <w:rsid w:val="005E7E9E"/>
    <w:rsid w:val="005E7F62"/>
    <w:rsid w:val="005F00C1"/>
    <w:rsid w:val="005F09B7"/>
    <w:rsid w:val="005F0AC5"/>
    <w:rsid w:val="005F2776"/>
    <w:rsid w:val="005F2F1B"/>
    <w:rsid w:val="005F3661"/>
    <w:rsid w:val="005F4029"/>
    <w:rsid w:val="005F5450"/>
    <w:rsid w:val="005F5DB2"/>
    <w:rsid w:val="005F60AA"/>
    <w:rsid w:val="00600135"/>
    <w:rsid w:val="006001EB"/>
    <w:rsid w:val="006004E9"/>
    <w:rsid w:val="006007FB"/>
    <w:rsid w:val="006017DF"/>
    <w:rsid w:val="00601E93"/>
    <w:rsid w:val="006033B4"/>
    <w:rsid w:val="006052A0"/>
    <w:rsid w:val="006054F3"/>
    <w:rsid w:val="006057ED"/>
    <w:rsid w:val="00605ADA"/>
    <w:rsid w:val="00605B45"/>
    <w:rsid w:val="00606E2A"/>
    <w:rsid w:val="0060710F"/>
    <w:rsid w:val="00607F58"/>
    <w:rsid w:val="00607F5F"/>
    <w:rsid w:val="006108A5"/>
    <w:rsid w:val="00610AFB"/>
    <w:rsid w:val="00611A35"/>
    <w:rsid w:val="00611C54"/>
    <w:rsid w:val="006121C7"/>
    <w:rsid w:val="00612A80"/>
    <w:rsid w:val="00612AC3"/>
    <w:rsid w:val="00612C99"/>
    <w:rsid w:val="00613D93"/>
    <w:rsid w:val="0061490C"/>
    <w:rsid w:val="00614A9A"/>
    <w:rsid w:val="00614DAE"/>
    <w:rsid w:val="00615FE5"/>
    <w:rsid w:val="00616158"/>
    <w:rsid w:val="00617A2E"/>
    <w:rsid w:val="0062013C"/>
    <w:rsid w:val="006203F2"/>
    <w:rsid w:val="00620B95"/>
    <w:rsid w:val="00620DB8"/>
    <w:rsid w:val="00621381"/>
    <w:rsid w:val="00621E7B"/>
    <w:rsid w:val="00622C0F"/>
    <w:rsid w:val="006231E9"/>
    <w:rsid w:val="00623D5C"/>
    <w:rsid w:val="00624529"/>
    <w:rsid w:val="00624BC3"/>
    <w:rsid w:val="00625E34"/>
    <w:rsid w:val="00626092"/>
    <w:rsid w:val="00626EA7"/>
    <w:rsid w:val="00630240"/>
    <w:rsid w:val="0063032F"/>
    <w:rsid w:val="00631580"/>
    <w:rsid w:val="006315BA"/>
    <w:rsid w:val="00631FE9"/>
    <w:rsid w:val="006322E2"/>
    <w:rsid w:val="0063268E"/>
    <w:rsid w:val="006329C9"/>
    <w:rsid w:val="00632C4E"/>
    <w:rsid w:val="00633697"/>
    <w:rsid w:val="00633D14"/>
    <w:rsid w:val="00634151"/>
    <w:rsid w:val="006341B2"/>
    <w:rsid w:val="006344FA"/>
    <w:rsid w:val="00634A29"/>
    <w:rsid w:val="00635324"/>
    <w:rsid w:val="00635BAC"/>
    <w:rsid w:val="00635CC7"/>
    <w:rsid w:val="00635F57"/>
    <w:rsid w:val="0063627C"/>
    <w:rsid w:val="00636CAF"/>
    <w:rsid w:val="00636E13"/>
    <w:rsid w:val="006373B3"/>
    <w:rsid w:val="00640A55"/>
    <w:rsid w:val="00640B5C"/>
    <w:rsid w:val="00641A4A"/>
    <w:rsid w:val="00641B9D"/>
    <w:rsid w:val="0064249A"/>
    <w:rsid w:val="00642A20"/>
    <w:rsid w:val="00642B31"/>
    <w:rsid w:val="00643CA7"/>
    <w:rsid w:val="00644836"/>
    <w:rsid w:val="00644AE0"/>
    <w:rsid w:val="0064523C"/>
    <w:rsid w:val="006464C4"/>
    <w:rsid w:val="00646C63"/>
    <w:rsid w:val="00646EEA"/>
    <w:rsid w:val="00647760"/>
    <w:rsid w:val="006500B6"/>
    <w:rsid w:val="006501CE"/>
    <w:rsid w:val="006501E9"/>
    <w:rsid w:val="00650213"/>
    <w:rsid w:val="00650D70"/>
    <w:rsid w:val="00651D67"/>
    <w:rsid w:val="00652A9E"/>
    <w:rsid w:val="00652D9B"/>
    <w:rsid w:val="00652F14"/>
    <w:rsid w:val="00653C29"/>
    <w:rsid w:val="00653CE7"/>
    <w:rsid w:val="0065414B"/>
    <w:rsid w:val="0065449E"/>
    <w:rsid w:val="00654581"/>
    <w:rsid w:val="00654BF3"/>
    <w:rsid w:val="00655FE7"/>
    <w:rsid w:val="00656397"/>
    <w:rsid w:val="0065649F"/>
    <w:rsid w:val="00656C21"/>
    <w:rsid w:val="00656DD2"/>
    <w:rsid w:val="00656EDA"/>
    <w:rsid w:val="00657969"/>
    <w:rsid w:val="00660618"/>
    <w:rsid w:val="00660722"/>
    <w:rsid w:val="0066082F"/>
    <w:rsid w:val="00660DE4"/>
    <w:rsid w:val="00660EF9"/>
    <w:rsid w:val="00661A77"/>
    <w:rsid w:val="00661DF7"/>
    <w:rsid w:val="0066274A"/>
    <w:rsid w:val="006630D4"/>
    <w:rsid w:val="006633C3"/>
    <w:rsid w:val="006633D6"/>
    <w:rsid w:val="00665647"/>
    <w:rsid w:val="00665988"/>
    <w:rsid w:val="00665A68"/>
    <w:rsid w:val="00665AA0"/>
    <w:rsid w:val="00665B74"/>
    <w:rsid w:val="00665EAE"/>
    <w:rsid w:val="00667429"/>
    <w:rsid w:val="006678DF"/>
    <w:rsid w:val="00667BA9"/>
    <w:rsid w:val="00667F80"/>
    <w:rsid w:val="00670ED6"/>
    <w:rsid w:val="00671104"/>
    <w:rsid w:val="00671CAA"/>
    <w:rsid w:val="00672A56"/>
    <w:rsid w:val="0067303E"/>
    <w:rsid w:val="0067337E"/>
    <w:rsid w:val="00673700"/>
    <w:rsid w:val="00674767"/>
    <w:rsid w:val="00674D40"/>
    <w:rsid w:val="006752BD"/>
    <w:rsid w:val="00675C03"/>
    <w:rsid w:val="00676544"/>
    <w:rsid w:val="0067722B"/>
    <w:rsid w:val="00677327"/>
    <w:rsid w:val="006776DE"/>
    <w:rsid w:val="00677787"/>
    <w:rsid w:val="006813AA"/>
    <w:rsid w:val="00682278"/>
    <w:rsid w:val="00682485"/>
    <w:rsid w:val="00682706"/>
    <w:rsid w:val="00684793"/>
    <w:rsid w:val="00685986"/>
    <w:rsid w:val="00687B7B"/>
    <w:rsid w:val="00687CC9"/>
    <w:rsid w:val="0069011D"/>
    <w:rsid w:val="00690A2F"/>
    <w:rsid w:val="00690B67"/>
    <w:rsid w:val="00690DB8"/>
    <w:rsid w:val="00691078"/>
    <w:rsid w:val="006911BA"/>
    <w:rsid w:val="00691E29"/>
    <w:rsid w:val="0069203D"/>
    <w:rsid w:val="00693433"/>
    <w:rsid w:val="00693690"/>
    <w:rsid w:val="00693868"/>
    <w:rsid w:val="00693CDD"/>
    <w:rsid w:val="00693CE4"/>
    <w:rsid w:val="00693D11"/>
    <w:rsid w:val="006944BD"/>
    <w:rsid w:val="006947FC"/>
    <w:rsid w:val="006948DE"/>
    <w:rsid w:val="00695716"/>
    <w:rsid w:val="00695C97"/>
    <w:rsid w:val="00695D5C"/>
    <w:rsid w:val="00697B15"/>
    <w:rsid w:val="006A13FA"/>
    <w:rsid w:val="006A143E"/>
    <w:rsid w:val="006A24E4"/>
    <w:rsid w:val="006A4003"/>
    <w:rsid w:val="006A6FF5"/>
    <w:rsid w:val="006A71B4"/>
    <w:rsid w:val="006A7262"/>
    <w:rsid w:val="006A7467"/>
    <w:rsid w:val="006A78CE"/>
    <w:rsid w:val="006B063D"/>
    <w:rsid w:val="006B0CA3"/>
    <w:rsid w:val="006B2AAA"/>
    <w:rsid w:val="006B2EF5"/>
    <w:rsid w:val="006B3427"/>
    <w:rsid w:val="006B3459"/>
    <w:rsid w:val="006B3713"/>
    <w:rsid w:val="006B3BBD"/>
    <w:rsid w:val="006B4B77"/>
    <w:rsid w:val="006B50B1"/>
    <w:rsid w:val="006B527E"/>
    <w:rsid w:val="006B62AE"/>
    <w:rsid w:val="006B652B"/>
    <w:rsid w:val="006B6F70"/>
    <w:rsid w:val="006B76DA"/>
    <w:rsid w:val="006C130E"/>
    <w:rsid w:val="006C19E2"/>
    <w:rsid w:val="006C2607"/>
    <w:rsid w:val="006C2CB9"/>
    <w:rsid w:val="006C3449"/>
    <w:rsid w:val="006C44BE"/>
    <w:rsid w:val="006C4979"/>
    <w:rsid w:val="006C5874"/>
    <w:rsid w:val="006C5AF4"/>
    <w:rsid w:val="006C5DA5"/>
    <w:rsid w:val="006C617B"/>
    <w:rsid w:val="006C7956"/>
    <w:rsid w:val="006C7D1A"/>
    <w:rsid w:val="006D0189"/>
    <w:rsid w:val="006D09F4"/>
    <w:rsid w:val="006D27CF"/>
    <w:rsid w:val="006D3FC4"/>
    <w:rsid w:val="006D5087"/>
    <w:rsid w:val="006D6397"/>
    <w:rsid w:val="006D6E43"/>
    <w:rsid w:val="006D7523"/>
    <w:rsid w:val="006E0905"/>
    <w:rsid w:val="006E0C25"/>
    <w:rsid w:val="006E1016"/>
    <w:rsid w:val="006E163D"/>
    <w:rsid w:val="006E1A19"/>
    <w:rsid w:val="006E22FE"/>
    <w:rsid w:val="006E2347"/>
    <w:rsid w:val="006E2D2C"/>
    <w:rsid w:val="006E334C"/>
    <w:rsid w:val="006E3715"/>
    <w:rsid w:val="006E3AF1"/>
    <w:rsid w:val="006E470C"/>
    <w:rsid w:val="006E4DAB"/>
    <w:rsid w:val="006E4FF8"/>
    <w:rsid w:val="006E55DD"/>
    <w:rsid w:val="006E69FE"/>
    <w:rsid w:val="006E7E94"/>
    <w:rsid w:val="006F1A76"/>
    <w:rsid w:val="006F1F26"/>
    <w:rsid w:val="006F20B6"/>
    <w:rsid w:val="006F2B5B"/>
    <w:rsid w:val="006F34E0"/>
    <w:rsid w:val="006F5220"/>
    <w:rsid w:val="006F5323"/>
    <w:rsid w:val="006F6289"/>
    <w:rsid w:val="006F6A20"/>
    <w:rsid w:val="006F6DDD"/>
    <w:rsid w:val="00700D3F"/>
    <w:rsid w:val="00701025"/>
    <w:rsid w:val="0070103D"/>
    <w:rsid w:val="00701750"/>
    <w:rsid w:val="007019F8"/>
    <w:rsid w:val="00701BB9"/>
    <w:rsid w:val="00702720"/>
    <w:rsid w:val="00702AEF"/>
    <w:rsid w:val="00703959"/>
    <w:rsid w:val="007064DD"/>
    <w:rsid w:val="00706580"/>
    <w:rsid w:val="0070773C"/>
    <w:rsid w:val="0070777F"/>
    <w:rsid w:val="007100C5"/>
    <w:rsid w:val="00710D39"/>
    <w:rsid w:val="00710F6D"/>
    <w:rsid w:val="007111ED"/>
    <w:rsid w:val="007118E7"/>
    <w:rsid w:val="007123EA"/>
    <w:rsid w:val="00712A0A"/>
    <w:rsid w:val="00713AB1"/>
    <w:rsid w:val="00713CB3"/>
    <w:rsid w:val="00713EC5"/>
    <w:rsid w:val="00714C2E"/>
    <w:rsid w:val="00714DC5"/>
    <w:rsid w:val="00715FC6"/>
    <w:rsid w:val="00716230"/>
    <w:rsid w:val="00717341"/>
    <w:rsid w:val="0072051E"/>
    <w:rsid w:val="0072059D"/>
    <w:rsid w:val="00721252"/>
    <w:rsid w:val="007219C7"/>
    <w:rsid w:val="00721B92"/>
    <w:rsid w:val="00722735"/>
    <w:rsid w:val="00722A0B"/>
    <w:rsid w:val="00723251"/>
    <w:rsid w:val="007238BD"/>
    <w:rsid w:val="0072395F"/>
    <w:rsid w:val="00723C05"/>
    <w:rsid w:val="00723F06"/>
    <w:rsid w:val="00724184"/>
    <w:rsid w:val="0072450D"/>
    <w:rsid w:val="007253B3"/>
    <w:rsid w:val="00725BD0"/>
    <w:rsid w:val="00726152"/>
    <w:rsid w:val="00726510"/>
    <w:rsid w:val="00726829"/>
    <w:rsid w:val="007274E4"/>
    <w:rsid w:val="00730235"/>
    <w:rsid w:val="007308D7"/>
    <w:rsid w:val="00730F6F"/>
    <w:rsid w:val="00731FE1"/>
    <w:rsid w:val="00732186"/>
    <w:rsid w:val="00732846"/>
    <w:rsid w:val="00732E88"/>
    <w:rsid w:val="00732F5F"/>
    <w:rsid w:val="00733BE9"/>
    <w:rsid w:val="0073416D"/>
    <w:rsid w:val="007341BD"/>
    <w:rsid w:val="0073467A"/>
    <w:rsid w:val="00734C33"/>
    <w:rsid w:val="007351CD"/>
    <w:rsid w:val="00736745"/>
    <w:rsid w:val="00736D7E"/>
    <w:rsid w:val="00737571"/>
    <w:rsid w:val="00737A4B"/>
    <w:rsid w:val="00737D6E"/>
    <w:rsid w:val="007400CB"/>
    <w:rsid w:val="00740576"/>
    <w:rsid w:val="0074068F"/>
    <w:rsid w:val="00740AAB"/>
    <w:rsid w:val="00740BFF"/>
    <w:rsid w:val="007412E7"/>
    <w:rsid w:val="007417F7"/>
    <w:rsid w:val="007419AA"/>
    <w:rsid w:val="00743051"/>
    <w:rsid w:val="00743CB8"/>
    <w:rsid w:val="00744D62"/>
    <w:rsid w:val="00744F58"/>
    <w:rsid w:val="007457FC"/>
    <w:rsid w:val="00747213"/>
    <w:rsid w:val="00750277"/>
    <w:rsid w:val="0075058D"/>
    <w:rsid w:val="00750E8C"/>
    <w:rsid w:val="00750F1D"/>
    <w:rsid w:val="007511C6"/>
    <w:rsid w:val="00751673"/>
    <w:rsid w:val="0075468A"/>
    <w:rsid w:val="007556FC"/>
    <w:rsid w:val="00755B77"/>
    <w:rsid w:val="00756019"/>
    <w:rsid w:val="0075642E"/>
    <w:rsid w:val="0075664F"/>
    <w:rsid w:val="0075676B"/>
    <w:rsid w:val="00756CC5"/>
    <w:rsid w:val="0075739F"/>
    <w:rsid w:val="007576E3"/>
    <w:rsid w:val="00761881"/>
    <w:rsid w:val="00761EAD"/>
    <w:rsid w:val="00762A0F"/>
    <w:rsid w:val="00763745"/>
    <w:rsid w:val="00764513"/>
    <w:rsid w:val="0076468A"/>
    <w:rsid w:val="0076599C"/>
    <w:rsid w:val="007659D5"/>
    <w:rsid w:val="00765E73"/>
    <w:rsid w:val="00766553"/>
    <w:rsid w:val="00766CAB"/>
    <w:rsid w:val="00766DC4"/>
    <w:rsid w:val="00770028"/>
    <w:rsid w:val="007712EE"/>
    <w:rsid w:val="00773E4D"/>
    <w:rsid w:val="007741BE"/>
    <w:rsid w:val="007741ED"/>
    <w:rsid w:val="00774B76"/>
    <w:rsid w:val="00774D93"/>
    <w:rsid w:val="0077565E"/>
    <w:rsid w:val="00776319"/>
    <w:rsid w:val="00776D6E"/>
    <w:rsid w:val="00777A98"/>
    <w:rsid w:val="007814E4"/>
    <w:rsid w:val="0078186D"/>
    <w:rsid w:val="00781E9E"/>
    <w:rsid w:val="0078321C"/>
    <w:rsid w:val="007837A3"/>
    <w:rsid w:val="00784652"/>
    <w:rsid w:val="00784F93"/>
    <w:rsid w:val="007857E3"/>
    <w:rsid w:val="00785CC4"/>
    <w:rsid w:val="007867AC"/>
    <w:rsid w:val="00786BAB"/>
    <w:rsid w:val="00786C88"/>
    <w:rsid w:val="00787677"/>
    <w:rsid w:val="00790676"/>
    <w:rsid w:val="007908AC"/>
    <w:rsid w:val="007911EB"/>
    <w:rsid w:val="00791920"/>
    <w:rsid w:val="00792EF6"/>
    <w:rsid w:val="0079320F"/>
    <w:rsid w:val="007935C0"/>
    <w:rsid w:val="00793840"/>
    <w:rsid w:val="00793D25"/>
    <w:rsid w:val="00793D8A"/>
    <w:rsid w:val="007940B5"/>
    <w:rsid w:val="00794CB8"/>
    <w:rsid w:val="0079568E"/>
    <w:rsid w:val="00795ACD"/>
    <w:rsid w:val="00795D58"/>
    <w:rsid w:val="00796221"/>
    <w:rsid w:val="00797C0B"/>
    <w:rsid w:val="00797F8E"/>
    <w:rsid w:val="007A0DCF"/>
    <w:rsid w:val="007A1431"/>
    <w:rsid w:val="007A17D7"/>
    <w:rsid w:val="007A213D"/>
    <w:rsid w:val="007A265A"/>
    <w:rsid w:val="007A27C5"/>
    <w:rsid w:val="007A2E76"/>
    <w:rsid w:val="007A3BB3"/>
    <w:rsid w:val="007A54C6"/>
    <w:rsid w:val="007A5AB8"/>
    <w:rsid w:val="007A5D52"/>
    <w:rsid w:val="007B14F9"/>
    <w:rsid w:val="007B1DF5"/>
    <w:rsid w:val="007B25A1"/>
    <w:rsid w:val="007B2723"/>
    <w:rsid w:val="007B2F84"/>
    <w:rsid w:val="007B304B"/>
    <w:rsid w:val="007B331A"/>
    <w:rsid w:val="007B3F65"/>
    <w:rsid w:val="007B4410"/>
    <w:rsid w:val="007B4676"/>
    <w:rsid w:val="007B4F6E"/>
    <w:rsid w:val="007B5389"/>
    <w:rsid w:val="007B5A89"/>
    <w:rsid w:val="007B7983"/>
    <w:rsid w:val="007C00E1"/>
    <w:rsid w:val="007C065B"/>
    <w:rsid w:val="007C16C4"/>
    <w:rsid w:val="007C1FC9"/>
    <w:rsid w:val="007C454F"/>
    <w:rsid w:val="007C4E9A"/>
    <w:rsid w:val="007C504F"/>
    <w:rsid w:val="007C59BD"/>
    <w:rsid w:val="007C654D"/>
    <w:rsid w:val="007C684A"/>
    <w:rsid w:val="007C78EA"/>
    <w:rsid w:val="007C7A76"/>
    <w:rsid w:val="007D06F9"/>
    <w:rsid w:val="007D0E5B"/>
    <w:rsid w:val="007D0F41"/>
    <w:rsid w:val="007D1571"/>
    <w:rsid w:val="007D162E"/>
    <w:rsid w:val="007D1634"/>
    <w:rsid w:val="007D1BAC"/>
    <w:rsid w:val="007D1F37"/>
    <w:rsid w:val="007D25AC"/>
    <w:rsid w:val="007D2E5D"/>
    <w:rsid w:val="007D4853"/>
    <w:rsid w:val="007D580B"/>
    <w:rsid w:val="007D609C"/>
    <w:rsid w:val="007D6409"/>
    <w:rsid w:val="007D7400"/>
    <w:rsid w:val="007D7CC8"/>
    <w:rsid w:val="007E0D32"/>
    <w:rsid w:val="007E0F73"/>
    <w:rsid w:val="007E23DE"/>
    <w:rsid w:val="007E2720"/>
    <w:rsid w:val="007E3480"/>
    <w:rsid w:val="007E35B5"/>
    <w:rsid w:val="007E3642"/>
    <w:rsid w:val="007E3899"/>
    <w:rsid w:val="007E38CF"/>
    <w:rsid w:val="007E3F3B"/>
    <w:rsid w:val="007E4439"/>
    <w:rsid w:val="007E4DE9"/>
    <w:rsid w:val="007E5D5D"/>
    <w:rsid w:val="007E5EA1"/>
    <w:rsid w:val="007E5EA6"/>
    <w:rsid w:val="007E61F0"/>
    <w:rsid w:val="007E6B1D"/>
    <w:rsid w:val="007E6DD0"/>
    <w:rsid w:val="007E6ECE"/>
    <w:rsid w:val="007E78FB"/>
    <w:rsid w:val="007F005A"/>
    <w:rsid w:val="007F0633"/>
    <w:rsid w:val="007F2315"/>
    <w:rsid w:val="007F2C90"/>
    <w:rsid w:val="007F369F"/>
    <w:rsid w:val="007F3AF3"/>
    <w:rsid w:val="007F3E39"/>
    <w:rsid w:val="007F4632"/>
    <w:rsid w:val="007F50D4"/>
    <w:rsid w:val="007F5D37"/>
    <w:rsid w:val="007F755B"/>
    <w:rsid w:val="0080114C"/>
    <w:rsid w:val="0080223D"/>
    <w:rsid w:val="008022D6"/>
    <w:rsid w:val="00802385"/>
    <w:rsid w:val="00802FFF"/>
    <w:rsid w:val="00803070"/>
    <w:rsid w:val="00803285"/>
    <w:rsid w:val="00803B60"/>
    <w:rsid w:val="00804C78"/>
    <w:rsid w:val="00804DF8"/>
    <w:rsid w:val="008058FE"/>
    <w:rsid w:val="00806005"/>
    <w:rsid w:val="00806262"/>
    <w:rsid w:val="00806EE1"/>
    <w:rsid w:val="008079A2"/>
    <w:rsid w:val="00807AAB"/>
    <w:rsid w:val="00807F0E"/>
    <w:rsid w:val="00810F31"/>
    <w:rsid w:val="00811024"/>
    <w:rsid w:val="00811452"/>
    <w:rsid w:val="00811B07"/>
    <w:rsid w:val="00812403"/>
    <w:rsid w:val="0081242A"/>
    <w:rsid w:val="00812735"/>
    <w:rsid w:val="008128C4"/>
    <w:rsid w:val="00812F3F"/>
    <w:rsid w:val="0081564F"/>
    <w:rsid w:val="008163CA"/>
    <w:rsid w:val="0081687F"/>
    <w:rsid w:val="00816D37"/>
    <w:rsid w:val="00817352"/>
    <w:rsid w:val="00820604"/>
    <w:rsid w:val="00820EA0"/>
    <w:rsid w:val="00821EE1"/>
    <w:rsid w:val="00822486"/>
    <w:rsid w:val="00822551"/>
    <w:rsid w:val="00822709"/>
    <w:rsid w:val="008228E7"/>
    <w:rsid w:val="008228FA"/>
    <w:rsid w:val="00822A63"/>
    <w:rsid w:val="008230B7"/>
    <w:rsid w:val="00823329"/>
    <w:rsid w:val="0082395C"/>
    <w:rsid w:val="00823A3F"/>
    <w:rsid w:val="00824826"/>
    <w:rsid w:val="00824BCC"/>
    <w:rsid w:val="00824E7C"/>
    <w:rsid w:val="008269B1"/>
    <w:rsid w:val="00826B87"/>
    <w:rsid w:val="008271BF"/>
    <w:rsid w:val="008272BB"/>
    <w:rsid w:val="008300EE"/>
    <w:rsid w:val="00831487"/>
    <w:rsid w:val="00831757"/>
    <w:rsid w:val="00831BB1"/>
    <w:rsid w:val="0083219C"/>
    <w:rsid w:val="008321BA"/>
    <w:rsid w:val="008328E6"/>
    <w:rsid w:val="00832985"/>
    <w:rsid w:val="00832AD3"/>
    <w:rsid w:val="008337D7"/>
    <w:rsid w:val="008379BD"/>
    <w:rsid w:val="008379FA"/>
    <w:rsid w:val="00840CD8"/>
    <w:rsid w:val="00841102"/>
    <w:rsid w:val="00842ADE"/>
    <w:rsid w:val="008432DB"/>
    <w:rsid w:val="00845358"/>
    <w:rsid w:val="0084559D"/>
    <w:rsid w:val="00845A1C"/>
    <w:rsid w:val="00845C45"/>
    <w:rsid w:val="0084616A"/>
    <w:rsid w:val="00846D97"/>
    <w:rsid w:val="00847B7A"/>
    <w:rsid w:val="00850B59"/>
    <w:rsid w:val="00850D03"/>
    <w:rsid w:val="008518E9"/>
    <w:rsid w:val="00851A83"/>
    <w:rsid w:val="0085274A"/>
    <w:rsid w:val="00853202"/>
    <w:rsid w:val="008535CD"/>
    <w:rsid w:val="00854183"/>
    <w:rsid w:val="00855178"/>
    <w:rsid w:val="008559FF"/>
    <w:rsid w:val="00856ED1"/>
    <w:rsid w:val="00857797"/>
    <w:rsid w:val="00861173"/>
    <w:rsid w:val="0086143E"/>
    <w:rsid w:val="00861571"/>
    <w:rsid w:val="00861B5F"/>
    <w:rsid w:val="008630DA"/>
    <w:rsid w:val="00864102"/>
    <w:rsid w:val="008643EF"/>
    <w:rsid w:val="00864417"/>
    <w:rsid w:val="008656E3"/>
    <w:rsid w:val="0086701C"/>
    <w:rsid w:val="00867909"/>
    <w:rsid w:val="0086797F"/>
    <w:rsid w:val="00867A10"/>
    <w:rsid w:val="00867E51"/>
    <w:rsid w:val="00870E88"/>
    <w:rsid w:val="00872B9F"/>
    <w:rsid w:val="00873DC2"/>
    <w:rsid w:val="0087404D"/>
    <w:rsid w:val="00874623"/>
    <w:rsid w:val="00875509"/>
    <w:rsid w:val="008755B9"/>
    <w:rsid w:val="0087627E"/>
    <w:rsid w:val="008762DE"/>
    <w:rsid w:val="008763AC"/>
    <w:rsid w:val="0087640D"/>
    <w:rsid w:val="00877975"/>
    <w:rsid w:val="00877987"/>
    <w:rsid w:val="008803D8"/>
    <w:rsid w:val="008805AE"/>
    <w:rsid w:val="00880E6A"/>
    <w:rsid w:val="00880FB0"/>
    <w:rsid w:val="0088118E"/>
    <w:rsid w:val="008817AB"/>
    <w:rsid w:val="0088254E"/>
    <w:rsid w:val="008828EC"/>
    <w:rsid w:val="00883468"/>
    <w:rsid w:val="00883D83"/>
    <w:rsid w:val="0088473A"/>
    <w:rsid w:val="008848C5"/>
    <w:rsid w:val="00884C64"/>
    <w:rsid w:val="00885ED3"/>
    <w:rsid w:val="0088614B"/>
    <w:rsid w:val="00886423"/>
    <w:rsid w:val="00886B72"/>
    <w:rsid w:val="00886C0C"/>
    <w:rsid w:val="0089063F"/>
    <w:rsid w:val="00890ABE"/>
    <w:rsid w:val="00890D6A"/>
    <w:rsid w:val="00891386"/>
    <w:rsid w:val="008919D4"/>
    <w:rsid w:val="0089209D"/>
    <w:rsid w:val="0089263E"/>
    <w:rsid w:val="00893088"/>
    <w:rsid w:val="00893240"/>
    <w:rsid w:val="00893439"/>
    <w:rsid w:val="00893447"/>
    <w:rsid w:val="00894545"/>
    <w:rsid w:val="0089469B"/>
    <w:rsid w:val="00895250"/>
    <w:rsid w:val="008954F3"/>
    <w:rsid w:val="00896698"/>
    <w:rsid w:val="0089701F"/>
    <w:rsid w:val="008978DC"/>
    <w:rsid w:val="008A0DAB"/>
    <w:rsid w:val="008A1281"/>
    <w:rsid w:val="008A1D5D"/>
    <w:rsid w:val="008A23AF"/>
    <w:rsid w:val="008A2757"/>
    <w:rsid w:val="008A2ECB"/>
    <w:rsid w:val="008A3914"/>
    <w:rsid w:val="008A47B2"/>
    <w:rsid w:val="008A4E75"/>
    <w:rsid w:val="008A6579"/>
    <w:rsid w:val="008A6AC5"/>
    <w:rsid w:val="008A6F1F"/>
    <w:rsid w:val="008A795C"/>
    <w:rsid w:val="008A7964"/>
    <w:rsid w:val="008A79A8"/>
    <w:rsid w:val="008B1BE1"/>
    <w:rsid w:val="008B1D32"/>
    <w:rsid w:val="008B2532"/>
    <w:rsid w:val="008B30E4"/>
    <w:rsid w:val="008B3323"/>
    <w:rsid w:val="008B3B53"/>
    <w:rsid w:val="008B45EE"/>
    <w:rsid w:val="008B6287"/>
    <w:rsid w:val="008B6EC4"/>
    <w:rsid w:val="008B7861"/>
    <w:rsid w:val="008C076C"/>
    <w:rsid w:val="008C0982"/>
    <w:rsid w:val="008C0D80"/>
    <w:rsid w:val="008C1037"/>
    <w:rsid w:val="008C11CE"/>
    <w:rsid w:val="008C1336"/>
    <w:rsid w:val="008C26DF"/>
    <w:rsid w:val="008C414E"/>
    <w:rsid w:val="008C4C72"/>
    <w:rsid w:val="008C4FB6"/>
    <w:rsid w:val="008C6607"/>
    <w:rsid w:val="008C7318"/>
    <w:rsid w:val="008C768F"/>
    <w:rsid w:val="008C7729"/>
    <w:rsid w:val="008C7AD9"/>
    <w:rsid w:val="008D02EB"/>
    <w:rsid w:val="008D0537"/>
    <w:rsid w:val="008D0AD7"/>
    <w:rsid w:val="008D0C01"/>
    <w:rsid w:val="008D0CAC"/>
    <w:rsid w:val="008D1279"/>
    <w:rsid w:val="008D1AA4"/>
    <w:rsid w:val="008D211A"/>
    <w:rsid w:val="008D21F3"/>
    <w:rsid w:val="008D3895"/>
    <w:rsid w:val="008D39C3"/>
    <w:rsid w:val="008D3E1B"/>
    <w:rsid w:val="008D44A6"/>
    <w:rsid w:val="008D47F0"/>
    <w:rsid w:val="008D4E28"/>
    <w:rsid w:val="008D64EB"/>
    <w:rsid w:val="008D69C8"/>
    <w:rsid w:val="008D6D6C"/>
    <w:rsid w:val="008D7B28"/>
    <w:rsid w:val="008D7FF6"/>
    <w:rsid w:val="008E0214"/>
    <w:rsid w:val="008E0DCB"/>
    <w:rsid w:val="008E17C4"/>
    <w:rsid w:val="008E180D"/>
    <w:rsid w:val="008E2955"/>
    <w:rsid w:val="008E2965"/>
    <w:rsid w:val="008E2A95"/>
    <w:rsid w:val="008E36FC"/>
    <w:rsid w:val="008E38E1"/>
    <w:rsid w:val="008E3D83"/>
    <w:rsid w:val="008E3DA5"/>
    <w:rsid w:val="008E4A8E"/>
    <w:rsid w:val="008E69CB"/>
    <w:rsid w:val="008F0AC3"/>
    <w:rsid w:val="008F11DE"/>
    <w:rsid w:val="008F1235"/>
    <w:rsid w:val="008F2838"/>
    <w:rsid w:val="008F284A"/>
    <w:rsid w:val="008F2B42"/>
    <w:rsid w:val="008F2EDE"/>
    <w:rsid w:val="008F3B6A"/>
    <w:rsid w:val="008F4F25"/>
    <w:rsid w:val="008F4FA6"/>
    <w:rsid w:val="008F55BC"/>
    <w:rsid w:val="008F561B"/>
    <w:rsid w:val="008F6266"/>
    <w:rsid w:val="008F702F"/>
    <w:rsid w:val="008F744C"/>
    <w:rsid w:val="008F7643"/>
    <w:rsid w:val="00900CED"/>
    <w:rsid w:val="00902B18"/>
    <w:rsid w:val="00902B46"/>
    <w:rsid w:val="00903AD8"/>
    <w:rsid w:val="009045B2"/>
    <w:rsid w:val="009050F6"/>
    <w:rsid w:val="009058E8"/>
    <w:rsid w:val="00905DA3"/>
    <w:rsid w:val="00906A9A"/>
    <w:rsid w:val="00906B3B"/>
    <w:rsid w:val="00907D7A"/>
    <w:rsid w:val="00907FBC"/>
    <w:rsid w:val="009105B5"/>
    <w:rsid w:val="009114E1"/>
    <w:rsid w:val="00911A81"/>
    <w:rsid w:val="00911E45"/>
    <w:rsid w:val="00911E62"/>
    <w:rsid w:val="00912284"/>
    <w:rsid w:val="0091296F"/>
    <w:rsid w:val="00913672"/>
    <w:rsid w:val="009137A9"/>
    <w:rsid w:val="00915B38"/>
    <w:rsid w:val="009164F6"/>
    <w:rsid w:val="00917646"/>
    <w:rsid w:val="00917765"/>
    <w:rsid w:val="009177AB"/>
    <w:rsid w:val="009207B0"/>
    <w:rsid w:val="00921D31"/>
    <w:rsid w:val="00922573"/>
    <w:rsid w:val="00922B93"/>
    <w:rsid w:val="00922DDE"/>
    <w:rsid w:val="00922FA5"/>
    <w:rsid w:val="009242C1"/>
    <w:rsid w:val="0092477A"/>
    <w:rsid w:val="0092482A"/>
    <w:rsid w:val="0092534D"/>
    <w:rsid w:val="00925CA9"/>
    <w:rsid w:val="0092776C"/>
    <w:rsid w:val="00927AEC"/>
    <w:rsid w:val="009303E2"/>
    <w:rsid w:val="00930DC0"/>
    <w:rsid w:val="009321EE"/>
    <w:rsid w:val="009327DA"/>
    <w:rsid w:val="00932809"/>
    <w:rsid w:val="009328B0"/>
    <w:rsid w:val="00932F0E"/>
    <w:rsid w:val="00935A20"/>
    <w:rsid w:val="009364C5"/>
    <w:rsid w:val="00936519"/>
    <w:rsid w:val="00936998"/>
    <w:rsid w:val="00936C02"/>
    <w:rsid w:val="00936EDD"/>
    <w:rsid w:val="0093717B"/>
    <w:rsid w:val="009405BD"/>
    <w:rsid w:val="009408D7"/>
    <w:rsid w:val="00940D94"/>
    <w:rsid w:val="009428EF"/>
    <w:rsid w:val="00942AE3"/>
    <w:rsid w:val="009433C6"/>
    <w:rsid w:val="009436EC"/>
    <w:rsid w:val="009442DE"/>
    <w:rsid w:val="009442FF"/>
    <w:rsid w:val="009443BA"/>
    <w:rsid w:val="0094468C"/>
    <w:rsid w:val="00944B1D"/>
    <w:rsid w:val="00946333"/>
    <w:rsid w:val="00946501"/>
    <w:rsid w:val="009465BF"/>
    <w:rsid w:val="00947305"/>
    <w:rsid w:val="00947A06"/>
    <w:rsid w:val="00947A0F"/>
    <w:rsid w:val="00950C79"/>
    <w:rsid w:val="00950CF9"/>
    <w:rsid w:val="00950F57"/>
    <w:rsid w:val="0095200F"/>
    <w:rsid w:val="00952EB2"/>
    <w:rsid w:val="00953B48"/>
    <w:rsid w:val="00953C62"/>
    <w:rsid w:val="009541E2"/>
    <w:rsid w:val="009555CC"/>
    <w:rsid w:val="00956F81"/>
    <w:rsid w:val="009572C5"/>
    <w:rsid w:val="00957834"/>
    <w:rsid w:val="00960C06"/>
    <w:rsid w:val="0096376B"/>
    <w:rsid w:val="00963C3B"/>
    <w:rsid w:val="00964A6A"/>
    <w:rsid w:val="0096593D"/>
    <w:rsid w:val="00965A46"/>
    <w:rsid w:val="00966394"/>
    <w:rsid w:val="009668F5"/>
    <w:rsid w:val="009673DA"/>
    <w:rsid w:val="00967589"/>
    <w:rsid w:val="00971420"/>
    <w:rsid w:val="009717B4"/>
    <w:rsid w:val="0097263B"/>
    <w:rsid w:val="00973C41"/>
    <w:rsid w:val="009740FD"/>
    <w:rsid w:val="009744B7"/>
    <w:rsid w:val="0097518C"/>
    <w:rsid w:val="009765EA"/>
    <w:rsid w:val="0097674F"/>
    <w:rsid w:val="009816EB"/>
    <w:rsid w:val="00981C32"/>
    <w:rsid w:val="00983177"/>
    <w:rsid w:val="0098322F"/>
    <w:rsid w:val="0098330E"/>
    <w:rsid w:val="00984003"/>
    <w:rsid w:val="00984067"/>
    <w:rsid w:val="00984A52"/>
    <w:rsid w:val="009851CE"/>
    <w:rsid w:val="00985590"/>
    <w:rsid w:val="00985E97"/>
    <w:rsid w:val="00986DE0"/>
    <w:rsid w:val="0098701F"/>
    <w:rsid w:val="009871C0"/>
    <w:rsid w:val="009874CA"/>
    <w:rsid w:val="009900B7"/>
    <w:rsid w:val="00990DDE"/>
    <w:rsid w:val="00991C9A"/>
    <w:rsid w:val="00992B94"/>
    <w:rsid w:val="00993036"/>
    <w:rsid w:val="00994752"/>
    <w:rsid w:val="00994D4D"/>
    <w:rsid w:val="009961E9"/>
    <w:rsid w:val="0099626D"/>
    <w:rsid w:val="0099640E"/>
    <w:rsid w:val="009966A5"/>
    <w:rsid w:val="00997106"/>
    <w:rsid w:val="00997169"/>
    <w:rsid w:val="009A0399"/>
    <w:rsid w:val="009A1511"/>
    <w:rsid w:val="009A184B"/>
    <w:rsid w:val="009A2255"/>
    <w:rsid w:val="009A23BE"/>
    <w:rsid w:val="009A392C"/>
    <w:rsid w:val="009A3971"/>
    <w:rsid w:val="009A4C3D"/>
    <w:rsid w:val="009A4E2D"/>
    <w:rsid w:val="009A5F87"/>
    <w:rsid w:val="009A629B"/>
    <w:rsid w:val="009A6FE4"/>
    <w:rsid w:val="009A753A"/>
    <w:rsid w:val="009B06D9"/>
    <w:rsid w:val="009B0F45"/>
    <w:rsid w:val="009B0FBD"/>
    <w:rsid w:val="009B10F4"/>
    <w:rsid w:val="009B1E8D"/>
    <w:rsid w:val="009B3621"/>
    <w:rsid w:val="009B4D85"/>
    <w:rsid w:val="009B4EE4"/>
    <w:rsid w:val="009B5655"/>
    <w:rsid w:val="009B5EC5"/>
    <w:rsid w:val="009B5FC7"/>
    <w:rsid w:val="009B708B"/>
    <w:rsid w:val="009B75A6"/>
    <w:rsid w:val="009C0008"/>
    <w:rsid w:val="009C1DE8"/>
    <w:rsid w:val="009C3139"/>
    <w:rsid w:val="009C4230"/>
    <w:rsid w:val="009C4FD2"/>
    <w:rsid w:val="009C52B5"/>
    <w:rsid w:val="009C54F7"/>
    <w:rsid w:val="009C55E5"/>
    <w:rsid w:val="009C5ACB"/>
    <w:rsid w:val="009C5BAC"/>
    <w:rsid w:val="009C5D28"/>
    <w:rsid w:val="009C6B0B"/>
    <w:rsid w:val="009C7554"/>
    <w:rsid w:val="009D0F26"/>
    <w:rsid w:val="009D171C"/>
    <w:rsid w:val="009D1F5C"/>
    <w:rsid w:val="009D25A0"/>
    <w:rsid w:val="009D2DB6"/>
    <w:rsid w:val="009D2E64"/>
    <w:rsid w:val="009D35FA"/>
    <w:rsid w:val="009D3B96"/>
    <w:rsid w:val="009D45AC"/>
    <w:rsid w:val="009D4D34"/>
    <w:rsid w:val="009D590D"/>
    <w:rsid w:val="009D5E50"/>
    <w:rsid w:val="009D6F09"/>
    <w:rsid w:val="009D797E"/>
    <w:rsid w:val="009E04D5"/>
    <w:rsid w:val="009E0C7C"/>
    <w:rsid w:val="009E13C3"/>
    <w:rsid w:val="009E1AA4"/>
    <w:rsid w:val="009E2A86"/>
    <w:rsid w:val="009E2FE0"/>
    <w:rsid w:val="009E311E"/>
    <w:rsid w:val="009E3544"/>
    <w:rsid w:val="009E388F"/>
    <w:rsid w:val="009E3C43"/>
    <w:rsid w:val="009E412E"/>
    <w:rsid w:val="009E45FB"/>
    <w:rsid w:val="009E47B6"/>
    <w:rsid w:val="009E4B73"/>
    <w:rsid w:val="009E5EF4"/>
    <w:rsid w:val="009E65C1"/>
    <w:rsid w:val="009E6950"/>
    <w:rsid w:val="009E7DAD"/>
    <w:rsid w:val="009F03A6"/>
    <w:rsid w:val="009F0811"/>
    <w:rsid w:val="009F087D"/>
    <w:rsid w:val="009F14AD"/>
    <w:rsid w:val="009F2240"/>
    <w:rsid w:val="009F29C4"/>
    <w:rsid w:val="009F2C26"/>
    <w:rsid w:val="009F3F3C"/>
    <w:rsid w:val="009F4FA9"/>
    <w:rsid w:val="009F5098"/>
    <w:rsid w:val="009F51F6"/>
    <w:rsid w:val="009F5528"/>
    <w:rsid w:val="009F55FD"/>
    <w:rsid w:val="009F5FC8"/>
    <w:rsid w:val="009F7120"/>
    <w:rsid w:val="009F765E"/>
    <w:rsid w:val="00A0187E"/>
    <w:rsid w:val="00A02B9D"/>
    <w:rsid w:val="00A03095"/>
    <w:rsid w:val="00A039F4"/>
    <w:rsid w:val="00A04257"/>
    <w:rsid w:val="00A04986"/>
    <w:rsid w:val="00A05597"/>
    <w:rsid w:val="00A05972"/>
    <w:rsid w:val="00A05CFD"/>
    <w:rsid w:val="00A05FCE"/>
    <w:rsid w:val="00A07365"/>
    <w:rsid w:val="00A10501"/>
    <w:rsid w:val="00A10E15"/>
    <w:rsid w:val="00A11B90"/>
    <w:rsid w:val="00A126ED"/>
    <w:rsid w:val="00A1299C"/>
    <w:rsid w:val="00A13F88"/>
    <w:rsid w:val="00A14325"/>
    <w:rsid w:val="00A148D5"/>
    <w:rsid w:val="00A15536"/>
    <w:rsid w:val="00A163C3"/>
    <w:rsid w:val="00A1697C"/>
    <w:rsid w:val="00A2043C"/>
    <w:rsid w:val="00A207E9"/>
    <w:rsid w:val="00A2093C"/>
    <w:rsid w:val="00A22411"/>
    <w:rsid w:val="00A23E7C"/>
    <w:rsid w:val="00A24404"/>
    <w:rsid w:val="00A2462F"/>
    <w:rsid w:val="00A2616F"/>
    <w:rsid w:val="00A2620B"/>
    <w:rsid w:val="00A26F03"/>
    <w:rsid w:val="00A26FFB"/>
    <w:rsid w:val="00A27060"/>
    <w:rsid w:val="00A27EAB"/>
    <w:rsid w:val="00A300E0"/>
    <w:rsid w:val="00A304B2"/>
    <w:rsid w:val="00A310EB"/>
    <w:rsid w:val="00A31349"/>
    <w:rsid w:val="00A316EB"/>
    <w:rsid w:val="00A349E9"/>
    <w:rsid w:val="00A34F23"/>
    <w:rsid w:val="00A34F82"/>
    <w:rsid w:val="00A3505B"/>
    <w:rsid w:val="00A353F2"/>
    <w:rsid w:val="00A35412"/>
    <w:rsid w:val="00A3544A"/>
    <w:rsid w:val="00A35980"/>
    <w:rsid w:val="00A35C73"/>
    <w:rsid w:val="00A36026"/>
    <w:rsid w:val="00A3619D"/>
    <w:rsid w:val="00A41B86"/>
    <w:rsid w:val="00A41FD2"/>
    <w:rsid w:val="00A42482"/>
    <w:rsid w:val="00A42D62"/>
    <w:rsid w:val="00A43286"/>
    <w:rsid w:val="00A43795"/>
    <w:rsid w:val="00A439D5"/>
    <w:rsid w:val="00A448B5"/>
    <w:rsid w:val="00A453EE"/>
    <w:rsid w:val="00A45FA2"/>
    <w:rsid w:val="00A468A9"/>
    <w:rsid w:val="00A46A17"/>
    <w:rsid w:val="00A46E43"/>
    <w:rsid w:val="00A470A8"/>
    <w:rsid w:val="00A47517"/>
    <w:rsid w:val="00A47FAA"/>
    <w:rsid w:val="00A504A6"/>
    <w:rsid w:val="00A5153B"/>
    <w:rsid w:val="00A51A2A"/>
    <w:rsid w:val="00A52FCD"/>
    <w:rsid w:val="00A539DF"/>
    <w:rsid w:val="00A5576E"/>
    <w:rsid w:val="00A55B9B"/>
    <w:rsid w:val="00A569E0"/>
    <w:rsid w:val="00A56A56"/>
    <w:rsid w:val="00A57231"/>
    <w:rsid w:val="00A57954"/>
    <w:rsid w:val="00A57B20"/>
    <w:rsid w:val="00A602D4"/>
    <w:rsid w:val="00A6287A"/>
    <w:rsid w:val="00A62A8C"/>
    <w:rsid w:val="00A62FA9"/>
    <w:rsid w:val="00A643D1"/>
    <w:rsid w:val="00A64FBF"/>
    <w:rsid w:val="00A66285"/>
    <w:rsid w:val="00A6638F"/>
    <w:rsid w:val="00A66CC9"/>
    <w:rsid w:val="00A67B3E"/>
    <w:rsid w:val="00A67C69"/>
    <w:rsid w:val="00A67CD7"/>
    <w:rsid w:val="00A70E31"/>
    <w:rsid w:val="00A71CD5"/>
    <w:rsid w:val="00A71E77"/>
    <w:rsid w:val="00A7259F"/>
    <w:rsid w:val="00A72A99"/>
    <w:rsid w:val="00A75506"/>
    <w:rsid w:val="00A7719D"/>
    <w:rsid w:val="00A77821"/>
    <w:rsid w:val="00A779B3"/>
    <w:rsid w:val="00A808C0"/>
    <w:rsid w:val="00A808F4"/>
    <w:rsid w:val="00A81DAD"/>
    <w:rsid w:val="00A8246E"/>
    <w:rsid w:val="00A83186"/>
    <w:rsid w:val="00A83A8D"/>
    <w:rsid w:val="00A83CD9"/>
    <w:rsid w:val="00A869B8"/>
    <w:rsid w:val="00A8719C"/>
    <w:rsid w:val="00A8762A"/>
    <w:rsid w:val="00A87827"/>
    <w:rsid w:val="00A87C27"/>
    <w:rsid w:val="00A90215"/>
    <w:rsid w:val="00A90898"/>
    <w:rsid w:val="00A914C7"/>
    <w:rsid w:val="00A919AE"/>
    <w:rsid w:val="00A92607"/>
    <w:rsid w:val="00A9264F"/>
    <w:rsid w:val="00A92EB2"/>
    <w:rsid w:val="00A944B2"/>
    <w:rsid w:val="00A95BC6"/>
    <w:rsid w:val="00A9623F"/>
    <w:rsid w:val="00A97B93"/>
    <w:rsid w:val="00A97D9A"/>
    <w:rsid w:val="00AA1827"/>
    <w:rsid w:val="00AA19B2"/>
    <w:rsid w:val="00AA19B4"/>
    <w:rsid w:val="00AA1DDF"/>
    <w:rsid w:val="00AA24B9"/>
    <w:rsid w:val="00AA273D"/>
    <w:rsid w:val="00AA2EA0"/>
    <w:rsid w:val="00AA354C"/>
    <w:rsid w:val="00AA4435"/>
    <w:rsid w:val="00AA65DD"/>
    <w:rsid w:val="00AA6921"/>
    <w:rsid w:val="00AA6F64"/>
    <w:rsid w:val="00AA756E"/>
    <w:rsid w:val="00AA75AA"/>
    <w:rsid w:val="00AB09DD"/>
    <w:rsid w:val="00AB0ACD"/>
    <w:rsid w:val="00AB10A7"/>
    <w:rsid w:val="00AB2539"/>
    <w:rsid w:val="00AB2AAA"/>
    <w:rsid w:val="00AB2CD1"/>
    <w:rsid w:val="00AB31E5"/>
    <w:rsid w:val="00AB3214"/>
    <w:rsid w:val="00AB3DC8"/>
    <w:rsid w:val="00AB456D"/>
    <w:rsid w:val="00AB4770"/>
    <w:rsid w:val="00AB4F66"/>
    <w:rsid w:val="00AB763C"/>
    <w:rsid w:val="00AB78DF"/>
    <w:rsid w:val="00AB7B4B"/>
    <w:rsid w:val="00AC1091"/>
    <w:rsid w:val="00AC15FC"/>
    <w:rsid w:val="00AC1FF8"/>
    <w:rsid w:val="00AC2830"/>
    <w:rsid w:val="00AC2932"/>
    <w:rsid w:val="00AC2EF0"/>
    <w:rsid w:val="00AC3007"/>
    <w:rsid w:val="00AC3F9C"/>
    <w:rsid w:val="00AC45DD"/>
    <w:rsid w:val="00AC4A3A"/>
    <w:rsid w:val="00AC4ADD"/>
    <w:rsid w:val="00AC4DFD"/>
    <w:rsid w:val="00AC59B7"/>
    <w:rsid w:val="00AC5A9A"/>
    <w:rsid w:val="00AC6019"/>
    <w:rsid w:val="00AC6035"/>
    <w:rsid w:val="00AC7A2B"/>
    <w:rsid w:val="00AC7BC0"/>
    <w:rsid w:val="00AD0793"/>
    <w:rsid w:val="00AD07C4"/>
    <w:rsid w:val="00AD16F0"/>
    <w:rsid w:val="00AD193E"/>
    <w:rsid w:val="00AD1BE5"/>
    <w:rsid w:val="00AD317B"/>
    <w:rsid w:val="00AD3F43"/>
    <w:rsid w:val="00AD4817"/>
    <w:rsid w:val="00AD61BE"/>
    <w:rsid w:val="00AD6741"/>
    <w:rsid w:val="00AD71D9"/>
    <w:rsid w:val="00AD7D4F"/>
    <w:rsid w:val="00AE00E2"/>
    <w:rsid w:val="00AE026B"/>
    <w:rsid w:val="00AE0E98"/>
    <w:rsid w:val="00AE1A47"/>
    <w:rsid w:val="00AE2181"/>
    <w:rsid w:val="00AE2253"/>
    <w:rsid w:val="00AE2529"/>
    <w:rsid w:val="00AE29C9"/>
    <w:rsid w:val="00AE332C"/>
    <w:rsid w:val="00AE3999"/>
    <w:rsid w:val="00AE422B"/>
    <w:rsid w:val="00AE4BAC"/>
    <w:rsid w:val="00AE554E"/>
    <w:rsid w:val="00AE6208"/>
    <w:rsid w:val="00AE687F"/>
    <w:rsid w:val="00AE6DB3"/>
    <w:rsid w:val="00AE6FE6"/>
    <w:rsid w:val="00AE70D8"/>
    <w:rsid w:val="00AF015B"/>
    <w:rsid w:val="00AF2A8D"/>
    <w:rsid w:val="00AF2C18"/>
    <w:rsid w:val="00AF2CB3"/>
    <w:rsid w:val="00AF2E46"/>
    <w:rsid w:val="00AF4079"/>
    <w:rsid w:val="00AF4B76"/>
    <w:rsid w:val="00AF563E"/>
    <w:rsid w:val="00AF59A5"/>
    <w:rsid w:val="00AF6228"/>
    <w:rsid w:val="00AF6554"/>
    <w:rsid w:val="00AF7549"/>
    <w:rsid w:val="00AF7ABC"/>
    <w:rsid w:val="00AF7C3F"/>
    <w:rsid w:val="00B01A41"/>
    <w:rsid w:val="00B02893"/>
    <w:rsid w:val="00B03360"/>
    <w:rsid w:val="00B03517"/>
    <w:rsid w:val="00B03561"/>
    <w:rsid w:val="00B039B9"/>
    <w:rsid w:val="00B0403E"/>
    <w:rsid w:val="00B04CB7"/>
    <w:rsid w:val="00B04DBA"/>
    <w:rsid w:val="00B0596B"/>
    <w:rsid w:val="00B0691D"/>
    <w:rsid w:val="00B114EC"/>
    <w:rsid w:val="00B11568"/>
    <w:rsid w:val="00B12CB2"/>
    <w:rsid w:val="00B13CEC"/>
    <w:rsid w:val="00B14B5B"/>
    <w:rsid w:val="00B15430"/>
    <w:rsid w:val="00B16672"/>
    <w:rsid w:val="00B167F3"/>
    <w:rsid w:val="00B16844"/>
    <w:rsid w:val="00B168A4"/>
    <w:rsid w:val="00B16B43"/>
    <w:rsid w:val="00B1701B"/>
    <w:rsid w:val="00B17126"/>
    <w:rsid w:val="00B17698"/>
    <w:rsid w:val="00B17741"/>
    <w:rsid w:val="00B17964"/>
    <w:rsid w:val="00B21BBC"/>
    <w:rsid w:val="00B25A98"/>
    <w:rsid w:val="00B25D88"/>
    <w:rsid w:val="00B26856"/>
    <w:rsid w:val="00B27DE3"/>
    <w:rsid w:val="00B30149"/>
    <w:rsid w:val="00B303AE"/>
    <w:rsid w:val="00B31DBD"/>
    <w:rsid w:val="00B31F2A"/>
    <w:rsid w:val="00B32862"/>
    <w:rsid w:val="00B337E0"/>
    <w:rsid w:val="00B33B1D"/>
    <w:rsid w:val="00B34E64"/>
    <w:rsid w:val="00B34EC5"/>
    <w:rsid w:val="00B34F70"/>
    <w:rsid w:val="00B35259"/>
    <w:rsid w:val="00B358F0"/>
    <w:rsid w:val="00B36E0B"/>
    <w:rsid w:val="00B3718C"/>
    <w:rsid w:val="00B40185"/>
    <w:rsid w:val="00B40269"/>
    <w:rsid w:val="00B404E8"/>
    <w:rsid w:val="00B408D1"/>
    <w:rsid w:val="00B40C14"/>
    <w:rsid w:val="00B411A2"/>
    <w:rsid w:val="00B415AC"/>
    <w:rsid w:val="00B42279"/>
    <w:rsid w:val="00B4246F"/>
    <w:rsid w:val="00B424CB"/>
    <w:rsid w:val="00B426C1"/>
    <w:rsid w:val="00B42B32"/>
    <w:rsid w:val="00B42E7C"/>
    <w:rsid w:val="00B43424"/>
    <w:rsid w:val="00B43528"/>
    <w:rsid w:val="00B4354D"/>
    <w:rsid w:val="00B43C08"/>
    <w:rsid w:val="00B450E6"/>
    <w:rsid w:val="00B458D2"/>
    <w:rsid w:val="00B45C85"/>
    <w:rsid w:val="00B45CC4"/>
    <w:rsid w:val="00B45F41"/>
    <w:rsid w:val="00B4678D"/>
    <w:rsid w:val="00B4759C"/>
    <w:rsid w:val="00B475B5"/>
    <w:rsid w:val="00B477A7"/>
    <w:rsid w:val="00B47F11"/>
    <w:rsid w:val="00B47F31"/>
    <w:rsid w:val="00B50C72"/>
    <w:rsid w:val="00B512FD"/>
    <w:rsid w:val="00B5271D"/>
    <w:rsid w:val="00B528ED"/>
    <w:rsid w:val="00B52E18"/>
    <w:rsid w:val="00B531D2"/>
    <w:rsid w:val="00B53D04"/>
    <w:rsid w:val="00B54B26"/>
    <w:rsid w:val="00B54CE2"/>
    <w:rsid w:val="00B54F51"/>
    <w:rsid w:val="00B55E8A"/>
    <w:rsid w:val="00B566C8"/>
    <w:rsid w:val="00B56EEA"/>
    <w:rsid w:val="00B60109"/>
    <w:rsid w:val="00B61B94"/>
    <w:rsid w:val="00B63FA2"/>
    <w:rsid w:val="00B65972"/>
    <w:rsid w:val="00B659FE"/>
    <w:rsid w:val="00B66001"/>
    <w:rsid w:val="00B6602F"/>
    <w:rsid w:val="00B6633D"/>
    <w:rsid w:val="00B668B3"/>
    <w:rsid w:val="00B6732D"/>
    <w:rsid w:val="00B67515"/>
    <w:rsid w:val="00B7085F"/>
    <w:rsid w:val="00B70ABC"/>
    <w:rsid w:val="00B70B1D"/>
    <w:rsid w:val="00B72CC5"/>
    <w:rsid w:val="00B73153"/>
    <w:rsid w:val="00B7378F"/>
    <w:rsid w:val="00B745FC"/>
    <w:rsid w:val="00B75E8F"/>
    <w:rsid w:val="00B76D59"/>
    <w:rsid w:val="00B772FD"/>
    <w:rsid w:val="00B779F8"/>
    <w:rsid w:val="00B77A55"/>
    <w:rsid w:val="00B8062B"/>
    <w:rsid w:val="00B80722"/>
    <w:rsid w:val="00B80E36"/>
    <w:rsid w:val="00B81377"/>
    <w:rsid w:val="00B81430"/>
    <w:rsid w:val="00B82352"/>
    <w:rsid w:val="00B82F54"/>
    <w:rsid w:val="00B83769"/>
    <w:rsid w:val="00B83E2A"/>
    <w:rsid w:val="00B847A6"/>
    <w:rsid w:val="00B84BF1"/>
    <w:rsid w:val="00B85FA8"/>
    <w:rsid w:val="00B86334"/>
    <w:rsid w:val="00B863DF"/>
    <w:rsid w:val="00B87F7B"/>
    <w:rsid w:val="00B915C7"/>
    <w:rsid w:val="00B91E26"/>
    <w:rsid w:val="00B92EEF"/>
    <w:rsid w:val="00B9338E"/>
    <w:rsid w:val="00B9342A"/>
    <w:rsid w:val="00B94460"/>
    <w:rsid w:val="00B94B6D"/>
    <w:rsid w:val="00B94D96"/>
    <w:rsid w:val="00B958DB"/>
    <w:rsid w:val="00B95AD9"/>
    <w:rsid w:val="00B96483"/>
    <w:rsid w:val="00B967D7"/>
    <w:rsid w:val="00B9681E"/>
    <w:rsid w:val="00B9748E"/>
    <w:rsid w:val="00BA0764"/>
    <w:rsid w:val="00BA0B8F"/>
    <w:rsid w:val="00BA0D17"/>
    <w:rsid w:val="00BA190B"/>
    <w:rsid w:val="00BA1B23"/>
    <w:rsid w:val="00BA4332"/>
    <w:rsid w:val="00BA46F9"/>
    <w:rsid w:val="00BA4C77"/>
    <w:rsid w:val="00BA51A4"/>
    <w:rsid w:val="00BA523D"/>
    <w:rsid w:val="00BA53E8"/>
    <w:rsid w:val="00BA71C3"/>
    <w:rsid w:val="00BA76AA"/>
    <w:rsid w:val="00BA78C4"/>
    <w:rsid w:val="00BA7D8B"/>
    <w:rsid w:val="00BB0B2D"/>
    <w:rsid w:val="00BB0BE1"/>
    <w:rsid w:val="00BB1AF9"/>
    <w:rsid w:val="00BB1EED"/>
    <w:rsid w:val="00BB2190"/>
    <w:rsid w:val="00BB26F3"/>
    <w:rsid w:val="00BB2A0C"/>
    <w:rsid w:val="00BB3832"/>
    <w:rsid w:val="00BB3E7F"/>
    <w:rsid w:val="00BB3F4F"/>
    <w:rsid w:val="00BB4F38"/>
    <w:rsid w:val="00BB50DF"/>
    <w:rsid w:val="00BB5D9A"/>
    <w:rsid w:val="00BB6842"/>
    <w:rsid w:val="00BB6BC8"/>
    <w:rsid w:val="00BB7423"/>
    <w:rsid w:val="00BC0689"/>
    <w:rsid w:val="00BC0716"/>
    <w:rsid w:val="00BC0846"/>
    <w:rsid w:val="00BC0D1A"/>
    <w:rsid w:val="00BC150D"/>
    <w:rsid w:val="00BC2AE3"/>
    <w:rsid w:val="00BC2FC2"/>
    <w:rsid w:val="00BC363D"/>
    <w:rsid w:val="00BC4006"/>
    <w:rsid w:val="00BC44B5"/>
    <w:rsid w:val="00BC4FB1"/>
    <w:rsid w:val="00BC5275"/>
    <w:rsid w:val="00BC5FF6"/>
    <w:rsid w:val="00BC726B"/>
    <w:rsid w:val="00BD03EE"/>
    <w:rsid w:val="00BD0837"/>
    <w:rsid w:val="00BD0EC9"/>
    <w:rsid w:val="00BD25FC"/>
    <w:rsid w:val="00BD2EBB"/>
    <w:rsid w:val="00BD2FC4"/>
    <w:rsid w:val="00BD3E01"/>
    <w:rsid w:val="00BD56CB"/>
    <w:rsid w:val="00BD617D"/>
    <w:rsid w:val="00BD6752"/>
    <w:rsid w:val="00BD67CA"/>
    <w:rsid w:val="00BD696D"/>
    <w:rsid w:val="00BD7545"/>
    <w:rsid w:val="00BD7876"/>
    <w:rsid w:val="00BE0144"/>
    <w:rsid w:val="00BE0637"/>
    <w:rsid w:val="00BE0E18"/>
    <w:rsid w:val="00BE1F1F"/>
    <w:rsid w:val="00BE201A"/>
    <w:rsid w:val="00BE256C"/>
    <w:rsid w:val="00BE25BE"/>
    <w:rsid w:val="00BE3775"/>
    <w:rsid w:val="00BE3A67"/>
    <w:rsid w:val="00BE47B0"/>
    <w:rsid w:val="00BE480E"/>
    <w:rsid w:val="00BE5E29"/>
    <w:rsid w:val="00BE6F4A"/>
    <w:rsid w:val="00BF05EE"/>
    <w:rsid w:val="00BF0922"/>
    <w:rsid w:val="00BF14C1"/>
    <w:rsid w:val="00BF16D2"/>
    <w:rsid w:val="00BF18CF"/>
    <w:rsid w:val="00BF27FE"/>
    <w:rsid w:val="00BF2C2D"/>
    <w:rsid w:val="00BF35CD"/>
    <w:rsid w:val="00BF4065"/>
    <w:rsid w:val="00BF50A0"/>
    <w:rsid w:val="00BF5B64"/>
    <w:rsid w:val="00BF6C00"/>
    <w:rsid w:val="00BF7924"/>
    <w:rsid w:val="00C004F8"/>
    <w:rsid w:val="00C00A63"/>
    <w:rsid w:val="00C018A3"/>
    <w:rsid w:val="00C02EAC"/>
    <w:rsid w:val="00C04170"/>
    <w:rsid w:val="00C042A4"/>
    <w:rsid w:val="00C04B1D"/>
    <w:rsid w:val="00C04BC4"/>
    <w:rsid w:val="00C05509"/>
    <w:rsid w:val="00C06083"/>
    <w:rsid w:val="00C0757D"/>
    <w:rsid w:val="00C07B67"/>
    <w:rsid w:val="00C07D86"/>
    <w:rsid w:val="00C07DF5"/>
    <w:rsid w:val="00C1042F"/>
    <w:rsid w:val="00C105B0"/>
    <w:rsid w:val="00C11AE6"/>
    <w:rsid w:val="00C122A4"/>
    <w:rsid w:val="00C129E1"/>
    <w:rsid w:val="00C1388E"/>
    <w:rsid w:val="00C1412F"/>
    <w:rsid w:val="00C1478D"/>
    <w:rsid w:val="00C15983"/>
    <w:rsid w:val="00C20622"/>
    <w:rsid w:val="00C21669"/>
    <w:rsid w:val="00C21F78"/>
    <w:rsid w:val="00C21FA1"/>
    <w:rsid w:val="00C2287A"/>
    <w:rsid w:val="00C22DC4"/>
    <w:rsid w:val="00C2305F"/>
    <w:rsid w:val="00C23F46"/>
    <w:rsid w:val="00C2467E"/>
    <w:rsid w:val="00C255E6"/>
    <w:rsid w:val="00C2617C"/>
    <w:rsid w:val="00C2630D"/>
    <w:rsid w:val="00C26EB0"/>
    <w:rsid w:val="00C2723F"/>
    <w:rsid w:val="00C274F2"/>
    <w:rsid w:val="00C277C2"/>
    <w:rsid w:val="00C309B4"/>
    <w:rsid w:val="00C30B8F"/>
    <w:rsid w:val="00C30E69"/>
    <w:rsid w:val="00C3123C"/>
    <w:rsid w:val="00C31DAD"/>
    <w:rsid w:val="00C321C5"/>
    <w:rsid w:val="00C32249"/>
    <w:rsid w:val="00C324A3"/>
    <w:rsid w:val="00C32579"/>
    <w:rsid w:val="00C3361C"/>
    <w:rsid w:val="00C34014"/>
    <w:rsid w:val="00C34880"/>
    <w:rsid w:val="00C34FA9"/>
    <w:rsid w:val="00C36DDD"/>
    <w:rsid w:val="00C36E92"/>
    <w:rsid w:val="00C371CA"/>
    <w:rsid w:val="00C37369"/>
    <w:rsid w:val="00C37A45"/>
    <w:rsid w:val="00C37BAB"/>
    <w:rsid w:val="00C37DA0"/>
    <w:rsid w:val="00C416A8"/>
    <w:rsid w:val="00C41771"/>
    <w:rsid w:val="00C41A31"/>
    <w:rsid w:val="00C43907"/>
    <w:rsid w:val="00C43E0B"/>
    <w:rsid w:val="00C43EB1"/>
    <w:rsid w:val="00C45430"/>
    <w:rsid w:val="00C462FE"/>
    <w:rsid w:val="00C47683"/>
    <w:rsid w:val="00C47716"/>
    <w:rsid w:val="00C47720"/>
    <w:rsid w:val="00C477D8"/>
    <w:rsid w:val="00C503CB"/>
    <w:rsid w:val="00C51F07"/>
    <w:rsid w:val="00C539F2"/>
    <w:rsid w:val="00C53E70"/>
    <w:rsid w:val="00C54082"/>
    <w:rsid w:val="00C5494B"/>
    <w:rsid w:val="00C54C63"/>
    <w:rsid w:val="00C55496"/>
    <w:rsid w:val="00C559AE"/>
    <w:rsid w:val="00C55EC0"/>
    <w:rsid w:val="00C56418"/>
    <w:rsid w:val="00C56ACC"/>
    <w:rsid w:val="00C576B2"/>
    <w:rsid w:val="00C5772C"/>
    <w:rsid w:val="00C578A1"/>
    <w:rsid w:val="00C57E0F"/>
    <w:rsid w:val="00C611B9"/>
    <w:rsid w:val="00C62620"/>
    <w:rsid w:val="00C628F6"/>
    <w:rsid w:val="00C6315A"/>
    <w:rsid w:val="00C6318F"/>
    <w:rsid w:val="00C63766"/>
    <w:rsid w:val="00C63DE2"/>
    <w:rsid w:val="00C6417A"/>
    <w:rsid w:val="00C64217"/>
    <w:rsid w:val="00C6498C"/>
    <w:rsid w:val="00C64AF0"/>
    <w:rsid w:val="00C64F59"/>
    <w:rsid w:val="00C66BCF"/>
    <w:rsid w:val="00C67503"/>
    <w:rsid w:val="00C679A0"/>
    <w:rsid w:val="00C709F8"/>
    <w:rsid w:val="00C70DB7"/>
    <w:rsid w:val="00C70E00"/>
    <w:rsid w:val="00C72571"/>
    <w:rsid w:val="00C72F63"/>
    <w:rsid w:val="00C7458E"/>
    <w:rsid w:val="00C74B96"/>
    <w:rsid w:val="00C74BB2"/>
    <w:rsid w:val="00C751F2"/>
    <w:rsid w:val="00C75BA9"/>
    <w:rsid w:val="00C75BEA"/>
    <w:rsid w:val="00C760A7"/>
    <w:rsid w:val="00C7642C"/>
    <w:rsid w:val="00C7654A"/>
    <w:rsid w:val="00C76804"/>
    <w:rsid w:val="00C76FBF"/>
    <w:rsid w:val="00C80402"/>
    <w:rsid w:val="00C80BD0"/>
    <w:rsid w:val="00C80CC3"/>
    <w:rsid w:val="00C81382"/>
    <w:rsid w:val="00C81F37"/>
    <w:rsid w:val="00C824CA"/>
    <w:rsid w:val="00C824F3"/>
    <w:rsid w:val="00C82BF1"/>
    <w:rsid w:val="00C834E0"/>
    <w:rsid w:val="00C834F3"/>
    <w:rsid w:val="00C8397C"/>
    <w:rsid w:val="00C83BC9"/>
    <w:rsid w:val="00C83CDE"/>
    <w:rsid w:val="00C84A81"/>
    <w:rsid w:val="00C858A1"/>
    <w:rsid w:val="00C85AE8"/>
    <w:rsid w:val="00C85DBC"/>
    <w:rsid w:val="00C85FF1"/>
    <w:rsid w:val="00C86A5C"/>
    <w:rsid w:val="00C87201"/>
    <w:rsid w:val="00C901A2"/>
    <w:rsid w:val="00C9069F"/>
    <w:rsid w:val="00C918FB"/>
    <w:rsid w:val="00C91ED4"/>
    <w:rsid w:val="00C92976"/>
    <w:rsid w:val="00C92C79"/>
    <w:rsid w:val="00C92F9B"/>
    <w:rsid w:val="00C9306A"/>
    <w:rsid w:val="00C932E1"/>
    <w:rsid w:val="00C9385E"/>
    <w:rsid w:val="00C93B21"/>
    <w:rsid w:val="00C947E7"/>
    <w:rsid w:val="00C94B5F"/>
    <w:rsid w:val="00C94C45"/>
    <w:rsid w:val="00C97405"/>
    <w:rsid w:val="00C97546"/>
    <w:rsid w:val="00CA11F9"/>
    <w:rsid w:val="00CA1A1F"/>
    <w:rsid w:val="00CA20E5"/>
    <w:rsid w:val="00CA2D2E"/>
    <w:rsid w:val="00CA2EBF"/>
    <w:rsid w:val="00CA2FF1"/>
    <w:rsid w:val="00CA39DD"/>
    <w:rsid w:val="00CA40F8"/>
    <w:rsid w:val="00CA544D"/>
    <w:rsid w:val="00CA563D"/>
    <w:rsid w:val="00CA588F"/>
    <w:rsid w:val="00CA5BCE"/>
    <w:rsid w:val="00CA5E25"/>
    <w:rsid w:val="00CA668F"/>
    <w:rsid w:val="00CA68D6"/>
    <w:rsid w:val="00CA75A9"/>
    <w:rsid w:val="00CB076D"/>
    <w:rsid w:val="00CB0DCF"/>
    <w:rsid w:val="00CB0E2F"/>
    <w:rsid w:val="00CB1627"/>
    <w:rsid w:val="00CB1B72"/>
    <w:rsid w:val="00CB1EC1"/>
    <w:rsid w:val="00CB2055"/>
    <w:rsid w:val="00CB270B"/>
    <w:rsid w:val="00CB4AD9"/>
    <w:rsid w:val="00CB5894"/>
    <w:rsid w:val="00CB7297"/>
    <w:rsid w:val="00CB742D"/>
    <w:rsid w:val="00CB768D"/>
    <w:rsid w:val="00CB7BE0"/>
    <w:rsid w:val="00CC01AC"/>
    <w:rsid w:val="00CC05E2"/>
    <w:rsid w:val="00CC11FE"/>
    <w:rsid w:val="00CC1E0D"/>
    <w:rsid w:val="00CC223C"/>
    <w:rsid w:val="00CC27ED"/>
    <w:rsid w:val="00CC286D"/>
    <w:rsid w:val="00CC3263"/>
    <w:rsid w:val="00CC3469"/>
    <w:rsid w:val="00CC3C9A"/>
    <w:rsid w:val="00CC58F3"/>
    <w:rsid w:val="00CC5ECC"/>
    <w:rsid w:val="00CC674F"/>
    <w:rsid w:val="00CC6B8C"/>
    <w:rsid w:val="00CC7A81"/>
    <w:rsid w:val="00CC7D22"/>
    <w:rsid w:val="00CD02D5"/>
    <w:rsid w:val="00CD036A"/>
    <w:rsid w:val="00CD07A6"/>
    <w:rsid w:val="00CD0BBA"/>
    <w:rsid w:val="00CD212C"/>
    <w:rsid w:val="00CD22A3"/>
    <w:rsid w:val="00CD3376"/>
    <w:rsid w:val="00CD50A0"/>
    <w:rsid w:val="00CD56E4"/>
    <w:rsid w:val="00CD68E9"/>
    <w:rsid w:val="00CD6E08"/>
    <w:rsid w:val="00CE06D3"/>
    <w:rsid w:val="00CE090B"/>
    <w:rsid w:val="00CE0BDD"/>
    <w:rsid w:val="00CE1C98"/>
    <w:rsid w:val="00CE4259"/>
    <w:rsid w:val="00CE496A"/>
    <w:rsid w:val="00CE50F8"/>
    <w:rsid w:val="00CE54D4"/>
    <w:rsid w:val="00CE581A"/>
    <w:rsid w:val="00CE5A8B"/>
    <w:rsid w:val="00CE5C1D"/>
    <w:rsid w:val="00CE5C3D"/>
    <w:rsid w:val="00CE657D"/>
    <w:rsid w:val="00CE7C0A"/>
    <w:rsid w:val="00CE7DF8"/>
    <w:rsid w:val="00CE7F67"/>
    <w:rsid w:val="00CE7FE0"/>
    <w:rsid w:val="00CF0BC6"/>
    <w:rsid w:val="00CF0C92"/>
    <w:rsid w:val="00CF0D52"/>
    <w:rsid w:val="00CF1388"/>
    <w:rsid w:val="00CF1568"/>
    <w:rsid w:val="00CF1CBB"/>
    <w:rsid w:val="00CF34C5"/>
    <w:rsid w:val="00CF4523"/>
    <w:rsid w:val="00CF47FE"/>
    <w:rsid w:val="00CF4931"/>
    <w:rsid w:val="00CF4C14"/>
    <w:rsid w:val="00CF4C5F"/>
    <w:rsid w:val="00CF5050"/>
    <w:rsid w:val="00CF668B"/>
    <w:rsid w:val="00CF691E"/>
    <w:rsid w:val="00CF6F2A"/>
    <w:rsid w:val="00CF72C5"/>
    <w:rsid w:val="00CF7659"/>
    <w:rsid w:val="00D00457"/>
    <w:rsid w:val="00D006BC"/>
    <w:rsid w:val="00D00977"/>
    <w:rsid w:val="00D00B84"/>
    <w:rsid w:val="00D039E0"/>
    <w:rsid w:val="00D04314"/>
    <w:rsid w:val="00D06237"/>
    <w:rsid w:val="00D07912"/>
    <w:rsid w:val="00D1050B"/>
    <w:rsid w:val="00D106B3"/>
    <w:rsid w:val="00D11D2E"/>
    <w:rsid w:val="00D1236F"/>
    <w:rsid w:val="00D12E16"/>
    <w:rsid w:val="00D13E1D"/>
    <w:rsid w:val="00D14D46"/>
    <w:rsid w:val="00D15185"/>
    <w:rsid w:val="00D1553E"/>
    <w:rsid w:val="00D1560E"/>
    <w:rsid w:val="00D158D1"/>
    <w:rsid w:val="00D15BF0"/>
    <w:rsid w:val="00D16155"/>
    <w:rsid w:val="00D16C5C"/>
    <w:rsid w:val="00D16DD7"/>
    <w:rsid w:val="00D17D4E"/>
    <w:rsid w:val="00D17DC3"/>
    <w:rsid w:val="00D200B9"/>
    <w:rsid w:val="00D20EF8"/>
    <w:rsid w:val="00D2138A"/>
    <w:rsid w:val="00D21585"/>
    <w:rsid w:val="00D218A2"/>
    <w:rsid w:val="00D219B3"/>
    <w:rsid w:val="00D23756"/>
    <w:rsid w:val="00D23A0A"/>
    <w:rsid w:val="00D23E45"/>
    <w:rsid w:val="00D26380"/>
    <w:rsid w:val="00D27253"/>
    <w:rsid w:val="00D2776A"/>
    <w:rsid w:val="00D27D6F"/>
    <w:rsid w:val="00D27E7B"/>
    <w:rsid w:val="00D27F27"/>
    <w:rsid w:val="00D3057A"/>
    <w:rsid w:val="00D30A3F"/>
    <w:rsid w:val="00D317D2"/>
    <w:rsid w:val="00D31A5C"/>
    <w:rsid w:val="00D31B4D"/>
    <w:rsid w:val="00D31CB1"/>
    <w:rsid w:val="00D337C5"/>
    <w:rsid w:val="00D33FA0"/>
    <w:rsid w:val="00D34463"/>
    <w:rsid w:val="00D362F7"/>
    <w:rsid w:val="00D36938"/>
    <w:rsid w:val="00D375F8"/>
    <w:rsid w:val="00D37E80"/>
    <w:rsid w:val="00D4016B"/>
    <w:rsid w:val="00D412D0"/>
    <w:rsid w:val="00D41743"/>
    <w:rsid w:val="00D41D53"/>
    <w:rsid w:val="00D4255D"/>
    <w:rsid w:val="00D43821"/>
    <w:rsid w:val="00D43F3F"/>
    <w:rsid w:val="00D47C4F"/>
    <w:rsid w:val="00D514F9"/>
    <w:rsid w:val="00D51C34"/>
    <w:rsid w:val="00D52928"/>
    <w:rsid w:val="00D52ADF"/>
    <w:rsid w:val="00D52B04"/>
    <w:rsid w:val="00D53575"/>
    <w:rsid w:val="00D550B9"/>
    <w:rsid w:val="00D55B6C"/>
    <w:rsid w:val="00D55E4E"/>
    <w:rsid w:val="00D56F5A"/>
    <w:rsid w:val="00D57293"/>
    <w:rsid w:val="00D572CC"/>
    <w:rsid w:val="00D605DC"/>
    <w:rsid w:val="00D60E74"/>
    <w:rsid w:val="00D6112C"/>
    <w:rsid w:val="00D62C58"/>
    <w:rsid w:val="00D6300E"/>
    <w:rsid w:val="00D64C9F"/>
    <w:rsid w:val="00D65051"/>
    <w:rsid w:val="00D66252"/>
    <w:rsid w:val="00D662C3"/>
    <w:rsid w:val="00D67722"/>
    <w:rsid w:val="00D700A7"/>
    <w:rsid w:val="00D7017D"/>
    <w:rsid w:val="00D703EF"/>
    <w:rsid w:val="00D71929"/>
    <w:rsid w:val="00D71F84"/>
    <w:rsid w:val="00D72735"/>
    <w:rsid w:val="00D73450"/>
    <w:rsid w:val="00D73AE2"/>
    <w:rsid w:val="00D73DB4"/>
    <w:rsid w:val="00D73FB7"/>
    <w:rsid w:val="00D744F0"/>
    <w:rsid w:val="00D7465A"/>
    <w:rsid w:val="00D7480F"/>
    <w:rsid w:val="00D755DB"/>
    <w:rsid w:val="00D757CA"/>
    <w:rsid w:val="00D761BA"/>
    <w:rsid w:val="00D76356"/>
    <w:rsid w:val="00D77DF7"/>
    <w:rsid w:val="00D77F6C"/>
    <w:rsid w:val="00D804FB"/>
    <w:rsid w:val="00D80874"/>
    <w:rsid w:val="00D80B77"/>
    <w:rsid w:val="00D80E5D"/>
    <w:rsid w:val="00D821C5"/>
    <w:rsid w:val="00D824C7"/>
    <w:rsid w:val="00D83798"/>
    <w:rsid w:val="00D84C51"/>
    <w:rsid w:val="00D865E8"/>
    <w:rsid w:val="00D86EEE"/>
    <w:rsid w:val="00D904BC"/>
    <w:rsid w:val="00D90640"/>
    <w:rsid w:val="00D91196"/>
    <w:rsid w:val="00D931FA"/>
    <w:rsid w:val="00D947E1"/>
    <w:rsid w:val="00D9587F"/>
    <w:rsid w:val="00D958BB"/>
    <w:rsid w:val="00D961EB"/>
    <w:rsid w:val="00D963DB"/>
    <w:rsid w:val="00D965C4"/>
    <w:rsid w:val="00D96C78"/>
    <w:rsid w:val="00DA0A2F"/>
    <w:rsid w:val="00DA0F99"/>
    <w:rsid w:val="00DA1991"/>
    <w:rsid w:val="00DA214B"/>
    <w:rsid w:val="00DA2414"/>
    <w:rsid w:val="00DA2A1C"/>
    <w:rsid w:val="00DA3579"/>
    <w:rsid w:val="00DA401B"/>
    <w:rsid w:val="00DA563B"/>
    <w:rsid w:val="00DA6407"/>
    <w:rsid w:val="00DA6FBC"/>
    <w:rsid w:val="00DA7043"/>
    <w:rsid w:val="00DA7A66"/>
    <w:rsid w:val="00DB03DE"/>
    <w:rsid w:val="00DB046D"/>
    <w:rsid w:val="00DB0EA9"/>
    <w:rsid w:val="00DB2092"/>
    <w:rsid w:val="00DB22ED"/>
    <w:rsid w:val="00DB2AC1"/>
    <w:rsid w:val="00DB2FBB"/>
    <w:rsid w:val="00DB48B7"/>
    <w:rsid w:val="00DB5031"/>
    <w:rsid w:val="00DB541D"/>
    <w:rsid w:val="00DB5A00"/>
    <w:rsid w:val="00DB609B"/>
    <w:rsid w:val="00DB61B1"/>
    <w:rsid w:val="00DB681F"/>
    <w:rsid w:val="00DB7127"/>
    <w:rsid w:val="00DB7370"/>
    <w:rsid w:val="00DB7A42"/>
    <w:rsid w:val="00DC0229"/>
    <w:rsid w:val="00DC03D7"/>
    <w:rsid w:val="00DC0B1D"/>
    <w:rsid w:val="00DC0DE4"/>
    <w:rsid w:val="00DC1F89"/>
    <w:rsid w:val="00DC2709"/>
    <w:rsid w:val="00DC2C4B"/>
    <w:rsid w:val="00DC2D4A"/>
    <w:rsid w:val="00DC311B"/>
    <w:rsid w:val="00DC377B"/>
    <w:rsid w:val="00DC3E5E"/>
    <w:rsid w:val="00DC4370"/>
    <w:rsid w:val="00DC5549"/>
    <w:rsid w:val="00DC777B"/>
    <w:rsid w:val="00DC78F8"/>
    <w:rsid w:val="00DC7D6C"/>
    <w:rsid w:val="00DD0AE4"/>
    <w:rsid w:val="00DD0B58"/>
    <w:rsid w:val="00DD0BD6"/>
    <w:rsid w:val="00DD18F0"/>
    <w:rsid w:val="00DD1928"/>
    <w:rsid w:val="00DD1DED"/>
    <w:rsid w:val="00DD38FB"/>
    <w:rsid w:val="00DD3B1B"/>
    <w:rsid w:val="00DD3B51"/>
    <w:rsid w:val="00DD4451"/>
    <w:rsid w:val="00DD4FD6"/>
    <w:rsid w:val="00DD5DF5"/>
    <w:rsid w:val="00DD665A"/>
    <w:rsid w:val="00DD744F"/>
    <w:rsid w:val="00DE005B"/>
    <w:rsid w:val="00DE09A8"/>
    <w:rsid w:val="00DE0BA0"/>
    <w:rsid w:val="00DE10AE"/>
    <w:rsid w:val="00DE18FE"/>
    <w:rsid w:val="00DE23CA"/>
    <w:rsid w:val="00DE260A"/>
    <w:rsid w:val="00DE29BC"/>
    <w:rsid w:val="00DE2AC1"/>
    <w:rsid w:val="00DE2F7F"/>
    <w:rsid w:val="00DE32C1"/>
    <w:rsid w:val="00DE3AE1"/>
    <w:rsid w:val="00DE4155"/>
    <w:rsid w:val="00DE4A33"/>
    <w:rsid w:val="00DE4EC6"/>
    <w:rsid w:val="00DE5702"/>
    <w:rsid w:val="00DE63A0"/>
    <w:rsid w:val="00DE651A"/>
    <w:rsid w:val="00DE6F42"/>
    <w:rsid w:val="00DE7388"/>
    <w:rsid w:val="00DE79CE"/>
    <w:rsid w:val="00DE7B3C"/>
    <w:rsid w:val="00DF0820"/>
    <w:rsid w:val="00DF0CE4"/>
    <w:rsid w:val="00DF1357"/>
    <w:rsid w:val="00DF2337"/>
    <w:rsid w:val="00DF333D"/>
    <w:rsid w:val="00DF3FCE"/>
    <w:rsid w:val="00DF472E"/>
    <w:rsid w:val="00DF4C28"/>
    <w:rsid w:val="00DF4C9E"/>
    <w:rsid w:val="00DF511C"/>
    <w:rsid w:val="00DF55A5"/>
    <w:rsid w:val="00DF5C79"/>
    <w:rsid w:val="00DF5DE1"/>
    <w:rsid w:val="00DF6E62"/>
    <w:rsid w:val="00DF7FB0"/>
    <w:rsid w:val="00E00714"/>
    <w:rsid w:val="00E01348"/>
    <w:rsid w:val="00E01E17"/>
    <w:rsid w:val="00E0285D"/>
    <w:rsid w:val="00E02F99"/>
    <w:rsid w:val="00E03E2E"/>
    <w:rsid w:val="00E04534"/>
    <w:rsid w:val="00E06364"/>
    <w:rsid w:val="00E06ACF"/>
    <w:rsid w:val="00E077DB"/>
    <w:rsid w:val="00E07CE0"/>
    <w:rsid w:val="00E10913"/>
    <w:rsid w:val="00E10DF0"/>
    <w:rsid w:val="00E128A4"/>
    <w:rsid w:val="00E13477"/>
    <w:rsid w:val="00E13689"/>
    <w:rsid w:val="00E14386"/>
    <w:rsid w:val="00E14E3C"/>
    <w:rsid w:val="00E14F88"/>
    <w:rsid w:val="00E15BAC"/>
    <w:rsid w:val="00E15CBC"/>
    <w:rsid w:val="00E164D2"/>
    <w:rsid w:val="00E176F6"/>
    <w:rsid w:val="00E17D82"/>
    <w:rsid w:val="00E20054"/>
    <w:rsid w:val="00E2033A"/>
    <w:rsid w:val="00E20793"/>
    <w:rsid w:val="00E21184"/>
    <w:rsid w:val="00E217A3"/>
    <w:rsid w:val="00E218E7"/>
    <w:rsid w:val="00E23788"/>
    <w:rsid w:val="00E23E6A"/>
    <w:rsid w:val="00E24124"/>
    <w:rsid w:val="00E2480C"/>
    <w:rsid w:val="00E25359"/>
    <w:rsid w:val="00E2538B"/>
    <w:rsid w:val="00E2571E"/>
    <w:rsid w:val="00E258F2"/>
    <w:rsid w:val="00E2616C"/>
    <w:rsid w:val="00E27660"/>
    <w:rsid w:val="00E27C7B"/>
    <w:rsid w:val="00E30361"/>
    <w:rsid w:val="00E30C57"/>
    <w:rsid w:val="00E317DF"/>
    <w:rsid w:val="00E31B38"/>
    <w:rsid w:val="00E31E56"/>
    <w:rsid w:val="00E326C9"/>
    <w:rsid w:val="00E32D8A"/>
    <w:rsid w:val="00E336C9"/>
    <w:rsid w:val="00E33FD6"/>
    <w:rsid w:val="00E34B84"/>
    <w:rsid w:val="00E35016"/>
    <w:rsid w:val="00E3570B"/>
    <w:rsid w:val="00E35C63"/>
    <w:rsid w:val="00E36DFB"/>
    <w:rsid w:val="00E40053"/>
    <w:rsid w:val="00E405CC"/>
    <w:rsid w:val="00E406A2"/>
    <w:rsid w:val="00E40F92"/>
    <w:rsid w:val="00E417A1"/>
    <w:rsid w:val="00E41887"/>
    <w:rsid w:val="00E434B5"/>
    <w:rsid w:val="00E44795"/>
    <w:rsid w:val="00E4493E"/>
    <w:rsid w:val="00E452EA"/>
    <w:rsid w:val="00E46D8A"/>
    <w:rsid w:val="00E47210"/>
    <w:rsid w:val="00E47CBE"/>
    <w:rsid w:val="00E531D0"/>
    <w:rsid w:val="00E5324D"/>
    <w:rsid w:val="00E53DA4"/>
    <w:rsid w:val="00E54104"/>
    <w:rsid w:val="00E54936"/>
    <w:rsid w:val="00E55795"/>
    <w:rsid w:val="00E55FF9"/>
    <w:rsid w:val="00E5673F"/>
    <w:rsid w:val="00E56953"/>
    <w:rsid w:val="00E56FA7"/>
    <w:rsid w:val="00E5728E"/>
    <w:rsid w:val="00E60E6D"/>
    <w:rsid w:val="00E61659"/>
    <w:rsid w:val="00E61EDB"/>
    <w:rsid w:val="00E61F7E"/>
    <w:rsid w:val="00E62722"/>
    <w:rsid w:val="00E62CFA"/>
    <w:rsid w:val="00E62EDE"/>
    <w:rsid w:val="00E630CF"/>
    <w:rsid w:val="00E63D0A"/>
    <w:rsid w:val="00E6427F"/>
    <w:rsid w:val="00E64C18"/>
    <w:rsid w:val="00E6750C"/>
    <w:rsid w:val="00E67C54"/>
    <w:rsid w:val="00E7121F"/>
    <w:rsid w:val="00E7149C"/>
    <w:rsid w:val="00E71B2A"/>
    <w:rsid w:val="00E71C17"/>
    <w:rsid w:val="00E72A8E"/>
    <w:rsid w:val="00E7326A"/>
    <w:rsid w:val="00E73549"/>
    <w:rsid w:val="00E7422B"/>
    <w:rsid w:val="00E745FA"/>
    <w:rsid w:val="00E74DB6"/>
    <w:rsid w:val="00E74DDD"/>
    <w:rsid w:val="00E755D2"/>
    <w:rsid w:val="00E75A0D"/>
    <w:rsid w:val="00E75E62"/>
    <w:rsid w:val="00E75EE2"/>
    <w:rsid w:val="00E772A4"/>
    <w:rsid w:val="00E82253"/>
    <w:rsid w:val="00E82451"/>
    <w:rsid w:val="00E849C2"/>
    <w:rsid w:val="00E84B02"/>
    <w:rsid w:val="00E86223"/>
    <w:rsid w:val="00E86515"/>
    <w:rsid w:val="00E86D92"/>
    <w:rsid w:val="00E87EDA"/>
    <w:rsid w:val="00E9005E"/>
    <w:rsid w:val="00E904C2"/>
    <w:rsid w:val="00E9057C"/>
    <w:rsid w:val="00E908B0"/>
    <w:rsid w:val="00E908E8"/>
    <w:rsid w:val="00E91DA6"/>
    <w:rsid w:val="00E92197"/>
    <w:rsid w:val="00E923CE"/>
    <w:rsid w:val="00E92587"/>
    <w:rsid w:val="00E929E6"/>
    <w:rsid w:val="00E9308C"/>
    <w:rsid w:val="00E93E15"/>
    <w:rsid w:val="00E9420D"/>
    <w:rsid w:val="00E94452"/>
    <w:rsid w:val="00E94BE5"/>
    <w:rsid w:val="00E96350"/>
    <w:rsid w:val="00EA2828"/>
    <w:rsid w:val="00EA2943"/>
    <w:rsid w:val="00EA2E76"/>
    <w:rsid w:val="00EA4EDC"/>
    <w:rsid w:val="00EA5929"/>
    <w:rsid w:val="00EA6876"/>
    <w:rsid w:val="00EA6E6B"/>
    <w:rsid w:val="00EB0254"/>
    <w:rsid w:val="00EB0D5F"/>
    <w:rsid w:val="00EB18F1"/>
    <w:rsid w:val="00EB1A0F"/>
    <w:rsid w:val="00EB1E1C"/>
    <w:rsid w:val="00EB1F67"/>
    <w:rsid w:val="00EB2FE7"/>
    <w:rsid w:val="00EB336F"/>
    <w:rsid w:val="00EB38D1"/>
    <w:rsid w:val="00EB3CAC"/>
    <w:rsid w:val="00EB3F6A"/>
    <w:rsid w:val="00EB44D9"/>
    <w:rsid w:val="00EB4520"/>
    <w:rsid w:val="00EB4913"/>
    <w:rsid w:val="00EB4A70"/>
    <w:rsid w:val="00EB4B1E"/>
    <w:rsid w:val="00EB4C9D"/>
    <w:rsid w:val="00EB4F56"/>
    <w:rsid w:val="00EB5244"/>
    <w:rsid w:val="00EB559C"/>
    <w:rsid w:val="00EB5F65"/>
    <w:rsid w:val="00EB601C"/>
    <w:rsid w:val="00EB616D"/>
    <w:rsid w:val="00EB624E"/>
    <w:rsid w:val="00EB6618"/>
    <w:rsid w:val="00EB6B5A"/>
    <w:rsid w:val="00EB7CBA"/>
    <w:rsid w:val="00EB7D6E"/>
    <w:rsid w:val="00EB7DF0"/>
    <w:rsid w:val="00EC0856"/>
    <w:rsid w:val="00EC0F18"/>
    <w:rsid w:val="00EC150A"/>
    <w:rsid w:val="00EC2654"/>
    <w:rsid w:val="00EC3169"/>
    <w:rsid w:val="00EC455E"/>
    <w:rsid w:val="00EC4709"/>
    <w:rsid w:val="00EC589C"/>
    <w:rsid w:val="00EC5C46"/>
    <w:rsid w:val="00EC5E92"/>
    <w:rsid w:val="00EC5EA5"/>
    <w:rsid w:val="00EC68DE"/>
    <w:rsid w:val="00EC6C4F"/>
    <w:rsid w:val="00EC753F"/>
    <w:rsid w:val="00EC77FB"/>
    <w:rsid w:val="00EC7DC5"/>
    <w:rsid w:val="00ED0319"/>
    <w:rsid w:val="00ED0E3D"/>
    <w:rsid w:val="00ED18A6"/>
    <w:rsid w:val="00ED18C3"/>
    <w:rsid w:val="00ED2C00"/>
    <w:rsid w:val="00ED2CC2"/>
    <w:rsid w:val="00ED2E4C"/>
    <w:rsid w:val="00ED311B"/>
    <w:rsid w:val="00ED3218"/>
    <w:rsid w:val="00ED3EC4"/>
    <w:rsid w:val="00ED4124"/>
    <w:rsid w:val="00ED470C"/>
    <w:rsid w:val="00ED4874"/>
    <w:rsid w:val="00ED4E6B"/>
    <w:rsid w:val="00ED56AD"/>
    <w:rsid w:val="00ED6598"/>
    <w:rsid w:val="00ED69F7"/>
    <w:rsid w:val="00ED7F6A"/>
    <w:rsid w:val="00EE02B0"/>
    <w:rsid w:val="00EE1A60"/>
    <w:rsid w:val="00EE1B6A"/>
    <w:rsid w:val="00EE1BB7"/>
    <w:rsid w:val="00EE2089"/>
    <w:rsid w:val="00EE245C"/>
    <w:rsid w:val="00EE5C7F"/>
    <w:rsid w:val="00EE69E4"/>
    <w:rsid w:val="00EE740F"/>
    <w:rsid w:val="00EE75A2"/>
    <w:rsid w:val="00EF0219"/>
    <w:rsid w:val="00EF0A69"/>
    <w:rsid w:val="00EF1205"/>
    <w:rsid w:val="00EF1453"/>
    <w:rsid w:val="00EF164C"/>
    <w:rsid w:val="00EF1841"/>
    <w:rsid w:val="00EF20C5"/>
    <w:rsid w:val="00EF2119"/>
    <w:rsid w:val="00EF2A7A"/>
    <w:rsid w:val="00EF30C1"/>
    <w:rsid w:val="00EF3E64"/>
    <w:rsid w:val="00EF4C35"/>
    <w:rsid w:val="00EF4C58"/>
    <w:rsid w:val="00EF531F"/>
    <w:rsid w:val="00EF55B4"/>
    <w:rsid w:val="00EF6366"/>
    <w:rsid w:val="00EF765C"/>
    <w:rsid w:val="00F0167F"/>
    <w:rsid w:val="00F01D70"/>
    <w:rsid w:val="00F0351D"/>
    <w:rsid w:val="00F03AED"/>
    <w:rsid w:val="00F04ABB"/>
    <w:rsid w:val="00F04AFC"/>
    <w:rsid w:val="00F04BE6"/>
    <w:rsid w:val="00F04EE3"/>
    <w:rsid w:val="00F056AF"/>
    <w:rsid w:val="00F0658E"/>
    <w:rsid w:val="00F06931"/>
    <w:rsid w:val="00F06FE9"/>
    <w:rsid w:val="00F07842"/>
    <w:rsid w:val="00F07A3E"/>
    <w:rsid w:val="00F106AA"/>
    <w:rsid w:val="00F10E44"/>
    <w:rsid w:val="00F1124C"/>
    <w:rsid w:val="00F1172D"/>
    <w:rsid w:val="00F11D32"/>
    <w:rsid w:val="00F128F0"/>
    <w:rsid w:val="00F12D07"/>
    <w:rsid w:val="00F12D21"/>
    <w:rsid w:val="00F1374C"/>
    <w:rsid w:val="00F14E09"/>
    <w:rsid w:val="00F14F3D"/>
    <w:rsid w:val="00F15366"/>
    <w:rsid w:val="00F157D1"/>
    <w:rsid w:val="00F15BC7"/>
    <w:rsid w:val="00F15D22"/>
    <w:rsid w:val="00F16CBB"/>
    <w:rsid w:val="00F16F75"/>
    <w:rsid w:val="00F177A7"/>
    <w:rsid w:val="00F1782E"/>
    <w:rsid w:val="00F17934"/>
    <w:rsid w:val="00F17D0A"/>
    <w:rsid w:val="00F20460"/>
    <w:rsid w:val="00F21F4F"/>
    <w:rsid w:val="00F22538"/>
    <w:rsid w:val="00F22719"/>
    <w:rsid w:val="00F2326A"/>
    <w:rsid w:val="00F23914"/>
    <w:rsid w:val="00F2432B"/>
    <w:rsid w:val="00F2598E"/>
    <w:rsid w:val="00F27600"/>
    <w:rsid w:val="00F3080E"/>
    <w:rsid w:val="00F3095C"/>
    <w:rsid w:val="00F318CF"/>
    <w:rsid w:val="00F31FC2"/>
    <w:rsid w:val="00F32602"/>
    <w:rsid w:val="00F32CF3"/>
    <w:rsid w:val="00F33707"/>
    <w:rsid w:val="00F33BB7"/>
    <w:rsid w:val="00F34353"/>
    <w:rsid w:val="00F347AD"/>
    <w:rsid w:val="00F349A9"/>
    <w:rsid w:val="00F34A71"/>
    <w:rsid w:val="00F35971"/>
    <w:rsid w:val="00F37014"/>
    <w:rsid w:val="00F37335"/>
    <w:rsid w:val="00F37468"/>
    <w:rsid w:val="00F3781B"/>
    <w:rsid w:val="00F37E2A"/>
    <w:rsid w:val="00F37F3B"/>
    <w:rsid w:val="00F37F5F"/>
    <w:rsid w:val="00F40651"/>
    <w:rsid w:val="00F41137"/>
    <w:rsid w:val="00F419A8"/>
    <w:rsid w:val="00F42A50"/>
    <w:rsid w:val="00F42C21"/>
    <w:rsid w:val="00F43015"/>
    <w:rsid w:val="00F4375D"/>
    <w:rsid w:val="00F4400C"/>
    <w:rsid w:val="00F45595"/>
    <w:rsid w:val="00F45E80"/>
    <w:rsid w:val="00F46922"/>
    <w:rsid w:val="00F46D2D"/>
    <w:rsid w:val="00F46E82"/>
    <w:rsid w:val="00F47031"/>
    <w:rsid w:val="00F47ABA"/>
    <w:rsid w:val="00F47B2E"/>
    <w:rsid w:val="00F47B3F"/>
    <w:rsid w:val="00F50845"/>
    <w:rsid w:val="00F51128"/>
    <w:rsid w:val="00F51815"/>
    <w:rsid w:val="00F520C8"/>
    <w:rsid w:val="00F52339"/>
    <w:rsid w:val="00F5269F"/>
    <w:rsid w:val="00F529AC"/>
    <w:rsid w:val="00F52C8C"/>
    <w:rsid w:val="00F52F3A"/>
    <w:rsid w:val="00F532E8"/>
    <w:rsid w:val="00F53919"/>
    <w:rsid w:val="00F5406A"/>
    <w:rsid w:val="00F54485"/>
    <w:rsid w:val="00F54B59"/>
    <w:rsid w:val="00F55873"/>
    <w:rsid w:val="00F558ED"/>
    <w:rsid w:val="00F55C09"/>
    <w:rsid w:val="00F5737A"/>
    <w:rsid w:val="00F60043"/>
    <w:rsid w:val="00F609F3"/>
    <w:rsid w:val="00F614F8"/>
    <w:rsid w:val="00F61A5C"/>
    <w:rsid w:val="00F6277F"/>
    <w:rsid w:val="00F62CAC"/>
    <w:rsid w:val="00F62E63"/>
    <w:rsid w:val="00F63BE6"/>
    <w:rsid w:val="00F64A59"/>
    <w:rsid w:val="00F65948"/>
    <w:rsid w:val="00F65E1D"/>
    <w:rsid w:val="00F66485"/>
    <w:rsid w:val="00F66588"/>
    <w:rsid w:val="00F66990"/>
    <w:rsid w:val="00F66BF7"/>
    <w:rsid w:val="00F66FA8"/>
    <w:rsid w:val="00F673D8"/>
    <w:rsid w:val="00F6789B"/>
    <w:rsid w:val="00F70648"/>
    <w:rsid w:val="00F707F4"/>
    <w:rsid w:val="00F70EAD"/>
    <w:rsid w:val="00F716B0"/>
    <w:rsid w:val="00F71CF5"/>
    <w:rsid w:val="00F723B0"/>
    <w:rsid w:val="00F73098"/>
    <w:rsid w:val="00F73A06"/>
    <w:rsid w:val="00F755F8"/>
    <w:rsid w:val="00F766B2"/>
    <w:rsid w:val="00F80C10"/>
    <w:rsid w:val="00F80EDC"/>
    <w:rsid w:val="00F83197"/>
    <w:rsid w:val="00F833F3"/>
    <w:rsid w:val="00F840B1"/>
    <w:rsid w:val="00F84C7D"/>
    <w:rsid w:val="00F857FC"/>
    <w:rsid w:val="00F8586F"/>
    <w:rsid w:val="00F86F02"/>
    <w:rsid w:val="00F87DDB"/>
    <w:rsid w:val="00F9094B"/>
    <w:rsid w:val="00F90F95"/>
    <w:rsid w:val="00F910B4"/>
    <w:rsid w:val="00F91321"/>
    <w:rsid w:val="00F9139C"/>
    <w:rsid w:val="00F91866"/>
    <w:rsid w:val="00F91AEB"/>
    <w:rsid w:val="00F91EEF"/>
    <w:rsid w:val="00F929E0"/>
    <w:rsid w:val="00F92CAE"/>
    <w:rsid w:val="00F9370B"/>
    <w:rsid w:val="00F93B65"/>
    <w:rsid w:val="00F9507D"/>
    <w:rsid w:val="00F95201"/>
    <w:rsid w:val="00F95A42"/>
    <w:rsid w:val="00F96062"/>
    <w:rsid w:val="00F96273"/>
    <w:rsid w:val="00F966C8"/>
    <w:rsid w:val="00F9751A"/>
    <w:rsid w:val="00F975BD"/>
    <w:rsid w:val="00F97D5B"/>
    <w:rsid w:val="00FA1332"/>
    <w:rsid w:val="00FA1346"/>
    <w:rsid w:val="00FA145F"/>
    <w:rsid w:val="00FA195D"/>
    <w:rsid w:val="00FA22EB"/>
    <w:rsid w:val="00FA2B7F"/>
    <w:rsid w:val="00FA2DFA"/>
    <w:rsid w:val="00FA399D"/>
    <w:rsid w:val="00FA540B"/>
    <w:rsid w:val="00FA5954"/>
    <w:rsid w:val="00FA640F"/>
    <w:rsid w:val="00FA6B32"/>
    <w:rsid w:val="00FA7019"/>
    <w:rsid w:val="00FA7112"/>
    <w:rsid w:val="00FA76EF"/>
    <w:rsid w:val="00FB02E0"/>
    <w:rsid w:val="00FB0415"/>
    <w:rsid w:val="00FB068C"/>
    <w:rsid w:val="00FB0D68"/>
    <w:rsid w:val="00FB12D0"/>
    <w:rsid w:val="00FB275A"/>
    <w:rsid w:val="00FB348D"/>
    <w:rsid w:val="00FB4A0F"/>
    <w:rsid w:val="00FB4EB3"/>
    <w:rsid w:val="00FB5AEC"/>
    <w:rsid w:val="00FB6E13"/>
    <w:rsid w:val="00FB72DF"/>
    <w:rsid w:val="00FB73BE"/>
    <w:rsid w:val="00FC02BE"/>
    <w:rsid w:val="00FC0C37"/>
    <w:rsid w:val="00FC18E0"/>
    <w:rsid w:val="00FC1B38"/>
    <w:rsid w:val="00FC1D1C"/>
    <w:rsid w:val="00FC1DA5"/>
    <w:rsid w:val="00FC2981"/>
    <w:rsid w:val="00FC3174"/>
    <w:rsid w:val="00FC3F6E"/>
    <w:rsid w:val="00FC4610"/>
    <w:rsid w:val="00FC480B"/>
    <w:rsid w:val="00FC6D62"/>
    <w:rsid w:val="00FC70AA"/>
    <w:rsid w:val="00FC7886"/>
    <w:rsid w:val="00FC798C"/>
    <w:rsid w:val="00FD091B"/>
    <w:rsid w:val="00FD203E"/>
    <w:rsid w:val="00FD2ECE"/>
    <w:rsid w:val="00FD3480"/>
    <w:rsid w:val="00FD474E"/>
    <w:rsid w:val="00FD4F0C"/>
    <w:rsid w:val="00FD556C"/>
    <w:rsid w:val="00FD5AFD"/>
    <w:rsid w:val="00FD5DA0"/>
    <w:rsid w:val="00FD6E3B"/>
    <w:rsid w:val="00FE12CF"/>
    <w:rsid w:val="00FE1F9D"/>
    <w:rsid w:val="00FE2130"/>
    <w:rsid w:val="00FE2279"/>
    <w:rsid w:val="00FE24A3"/>
    <w:rsid w:val="00FE27BE"/>
    <w:rsid w:val="00FE2A3D"/>
    <w:rsid w:val="00FE2D0F"/>
    <w:rsid w:val="00FE3598"/>
    <w:rsid w:val="00FE38D4"/>
    <w:rsid w:val="00FE4137"/>
    <w:rsid w:val="00FE44A2"/>
    <w:rsid w:val="00FE460D"/>
    <w:rsid w:val="00FE6530"/>
    <w:rsid w:val="00FE6C79"/>
    <w:rsid w:val="00FE7231"/>
    <w:rsid w:val="00FE7381"/>
    <w:rsid w:val="00FE7CB1"/>
    <w:rsid w:val="00FF028A"/>
    <w:rsid w:val="00FF07AF"/>
    <w:rsid w:val="00FF14B9"/>
    <w:rsid w:val="00FF182B"/>
    <w:rsid w:val="00FF20A3"/>
    <w:rsid w:val="00FF25A2"/>
    <w:rsid w:val="00FF28AA"/>
    <w:rsid w:val="00FF2DD9"/>
    <w:rsid w:val="00FF42E3"/>
    <w:rsid w:val="00FF47F4"/>
    <w:rsid w:val="00FF64D2"/>
    <w:rsid w:val="00FF67E8"/>
    <w:rsid w:val="00FF6822"/>
    <w:rsid w:val="00FF7518"/>
  </w:rsids>
  <m:mathPr>
    <m:mathFont m:val="Cambria Math"/>
    <m:brkBin m:val="before"/>
    <m:brkBinSub m:val="--"/>
    <m:smallFrac m:val="0"/>
    <m:dispDef/>
    <m:lMargin m:val="0"/>
    <m:rMargin m:val="0"/>
    <m:defJc m:val="centerGroup"/>
    <m:wrapIndent m:val="1440"/>
    <m:intLim m:val="subSup"/>
    <m:naryLim m:val="undOvr"/>
  </m:mathPr>
  <w:themeFontLang w:val="en-US" w:eastAsia="zh-TW"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33318BE"/>
  <w15:docId w15:val="{9F305055-C599-4B17-BA78-EDD69EC69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lsdException w:name="heading 2" w:semiHidden="1" w:uiPriority="0" w:unhideWhenUsed="1" w:qFormat="1"/>
    <w:lsdException w:name="heading 3" w:semiHidden="1" w:uiPriority="0" w:unhideWhenUsed="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iPriority="0"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6931"/>
    <w:pPr>
      <w:spacing w:after="0" w:line="240" w:lineRule="auto"/>
      <w:ind w:left="-108" w:right="-108"/>
      <w:jc w:val="both"/>
    </w:pPr>
    <w:rPr>
      <w:rFonts w:ascii="Arial" w:eastAsia="Times New Roman" w:hAnsi="Arial" w:cs="Arial"/>
      <w:color w:val="000000"/>
      <w:sz w:val="18"/>
      <w:szCs w:val="20"/>
    </w:rPr>
  </w:style>
  <w:style w:type="paragraph" w:styleId="Heading1">
    <w:name w:val="heading 1"/>
    <w:aliases w:val="H2,כותרת 1 תו1,כותרת 1 תו תו,כותרת 1 תו תו תו תו תו תו תו תו תו תו תו תו,כותרת 1 תו תו תו תו תו תו תו תו תו תו תו תו תו Char Char Char Char Char Char Char Char Char Char Char Char Char Char Char Char Char Char,Heading 1 תו,Heading 1 תו1"/>
    <w:basedOn w:val="Normal"/>
    <w:next w:val="Normal"/>
    <w:link w:val="Heading1Char"/>
    <w:autoRedefine/>
    <w:rsid w:val="005A788C"/>
    <w:pPr>
      <w:keepNext/>
      <w:tabs>
        <w:tab w:val="left" w:pos="3505"/>
        <w:tab w:val="left" w:pos="3931"/>
        <w:tab w:val="left" w:pos="4781"/>
        <w:tab w:val="left" w:pos="5632"/>
        <w:tab w:val="left" w:pos="6482"/>
        <w:tab w:val="left" w:pos="7333"/>
        <w:tab w:val="left" w:pos="7758"/>
        <w:tab w:val="left" w:pos="8183"/>
      </w:tabs>
      <w:spacing w:before="40" w:after="120" w:line="40" w:lineRule="atLeast"/>
      <w:outlineLvl w:val="0"/>
    </w:pPr>
    <w:rPr>
      <w:rFonts w:asciiTheme="minorBidi" w:hAnsiTheme="minorBidi" w:cstheme="minorBidi"/>
      <w:b/>
      <w:bCs/>
      <w:noProof/>
      <w:color w:val="FF6600"/>
      <w:sz w:val="24"/>
      <w:szCs w:val="24"/>
      <w:lang w:eastAsia="he-IL"/>
    </w:rPr>
  </w:style>
  <w:style w:type="paragraph" w:styleId="Heading2">
    <w:name w:val="heading 2"/>
    <w:aliases w:val="s"/>
    <w:basedOn w:val="Normal"/>
    <w:next w:val="Normal"/>
    <w:link w:val="Heading2Char"/>
    <w:qFormat/>
    <w:rsid w:val="00C85AE8"/>
    <w:pPr>
      <w:tabs>
        <w:tab w:val="left" w:pos="930"/>
      </w:tabs>
      <w:spacing w:after="60" w:line="340" w:lineRule="exact"/>
      <w:outlineLvl w:val="1"/>
    </w:pPr>
    <w:rPr>
      <w:bCs/>
      <w:color w:val="auto"/>
      <w:sz w:val="22"/>
    </w:rPr>
  </w:style>
  <w:style w:type="paragraph" w:styleId="Heading3">
    <w:name w:val="heading 3"/>
    <w:aliases w:val="תת כותרת,כותרת 3 תו1 תו,כותרת 3 תו תו תו,Heading 3 תו תו תו"/>
    <w:basedOn w:val="Normal"/>
    <w:next w:val="Normal"/>
    <w:link w:val="Heading3Char"/>
    <w:autoRedefine/>
    <w:rsid w:val="00582E53"/>
    <w:pPr>
      <w:keepNext/>
      <w:tabs>
        <w:tab w:val="left" w:pos="5140"/>
        <w:tab w:val="left" w:pos="5960"/>
        <w:tab w:val="left" w:pos="6680"/>
        <w:tab w:val="left" w:pos="7360"/>
        <w:tab w:val="left" w:pos="8320"/>
        <w:tab w:val="left" w:pos="9360"/>
      </w:tabs>
      <w:spacing w:before="40" w:after="120" w:line="40" w:lineRule="atLeast"/>
      <w:ind w:left="153" w:hanging="261"/>
      <w:jc w:val="left"/>
      <w:outlineLvl w:val="2"/>
    </w:pPr>
    <w:rPr>
      <w:rFonts w:asciiTheme="minorBidi" w:hAnsiTheme="minorBidi" w:cstheme="minorBidi"/>
      <w:b/>
      <w:bCs/>
      <w:snapToGrid w:val="0"/>
      <w:sz w:val="20"/>
    </w:rPr>
  </w:style>
  <w:style w:type="paragraph" w:styleId="Heading4">
    <w:name w:val="heading 4"/>
    <w:basedOn w:val="Normal"/>
    <w:next w:val="Normal"/>
    <w:link w:val="Heading4Char"/>
    <w:qFormat/>
    <w:rsid w:val="00952EB2"/>
    <w:pPr>
      <w:keepNext/>
      <w:spacing w:line="360" w:lineRule="auto"/>
      <w:ind w:left="2268"/>
      <w:outlineLvl w:val="3"/>
    </w:pPr>
    <w:rPr>
      <w:bCs/>
      <w:snapToGrid w:val="0"/>
      <w:sz w:val="24"/>
      <w:lang w:eastAsia="he-IL"/>
    </w:rPr>
  </w:style>
  <w:style w:type="paragraph" w:styleId="Heading5">
    <w:name w:val="heading 5"/>
    <w:basedOn w:val="Normal"/>
    <w:next w:val="Normal"/>
    <w:link w:val="Heading5Char"/>
    <w:qFormat/>
    <w:rsid w:val="00952EB2"/>
    <w:pPr>
      <w:keepNext/>
      <w:spacing w:line="300" w:lineRule="exact"/>
      <w:ind w:left="2268"/>
      <w:outlineLvl w:val="4"/>
    </w:pPr>
    <w:rPr>
      <w:b/>
      <w:bCs/>
      <w:snapToGrid w:val="0"/>
      <w:lang w:eastAsia="he-IL"/>
    </w:rPr>
  </w:style>
  <w:style w:type="paragraph" w:styleId="Heading6">
    <w:name w:val="heading 6"/>
    <w:basedOn w:val="Normal"/>
    <w:next w:val="Normal"/>
    <w:link w:val="Heading6Char"/>
    <w:qFormat/>
    <w:rsid w:val="00952EB2"/>
    <w:pPr>
      <w:spacing w:before="240" w:after="60"/>
      <w:outlineLvl w:val="5"/>
    </w:pPr>
    <w:rPr>
      <w:rFonts w:cs="Times New Roman"/>
      <w:b/>
      <w:bCs/>
      <w:szCs w:val="22"/>
    </w:rPr>
  </w:style>
  <w:style w:type="paragraph" w:styleId="Heading7">
    <w:name w:val="heading 7"/>
    <w:basedOn w:val="Normal"/>
    <w:next w:val="Normal"/>
    <w:link w:val="Heading7Char"/>
    <w:uiPriority w:val="99"/>
    <w:qFormat/>
    <w:rsid w:val="00952EB2"/>
    <w:pPr>
      <w:keepNext/>
      <w:spacing w:line="320" w:lineRule="exact"/>
      <w:ind w:left="2268"/>
      <w:outlineLvl w:val="6"/>
    </w:pPr>
    <w:rPr>
      <w:snapToGrid w:val="0"/>
      <w:szCs w:val="28"/>
      <w:lang w:eastAsia="he-IL"/>
    </w:rPr>
  </w:style>
  <w:style w:type="paragraph" w:styleId="Heading8">
    <w:name w:val="heading 8"/>
    <w:basedOn w:val="Normal"/>
    <w:next w:val="Normal"/>
    <w:link w:val="Heading8Char"/>
    <w:uiPriority w:val="99"/>
    <w:qFormat/>
    <w:rsid w:val="00952EB2"/>
    <w:pPr>
      <w:spacing w:before="240" w:after="60"/>
      <w:outlineLvl w:val="7"/>
    </w:pPr>
    <w:rPr>
      <w:rFonts w:cs="Times New Roman"/>
      <w:i/>
      <w:iCs/>
      <w:sz w:val="24"/>
    </w:rPr>
  </w:style>
  <w:style w:type="paragraph" w:styleId="Heading9">
    <w:name w:val="heading 9"/>
    <w:basedOn w:val="Normal"/>
    <w:next w:val="Normal"/>
    <w:link w:val="Heading9Char"/>
    <w:uiPriority w:val="99"/>
    <w:qFormat/>
    <w:rsid w:val="00952EB2"/>
    <w:pPr>
      <w:keepNext/>
      <w:spacing w:line="300" w:lineRule="exact"/>
      <w:ind w:left="2268"/>
      <w:outlineLvl w:val="8"/>
    </w:pPr>
    <w:rPr>
      <w:bCs/>
      <w:snapToGrid w:val="0"/>
      <w:u w:val="single"/>
      <w:lang w:eastAsia="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2 Char,כותרת 1 תו1 Char,כותרת 1 תו תו Char,כותרת 1 תו תו תו תו תו תו תו תו תו תו תו תו Char,כותרת 1 תו תו תו תו תו תו תו תו תו תו תו תו תו Char Char Char Char Char Char Char Char Char Char Char Char Char Char Char Char Char Char Char"/>
    <w:basedOn w:val="DefaultParagraphFont"/>
    <w:link w:val="Heading1"/>
    <w:rsid w:val="005A788C"/>
    <w:rPr>
      <w:rFonts w:asciiTheme="minorBidi" w:eastAsia="Times New Roman" w:hAnsiTheme="minorBidi"/>
      <w:b/>
      <w:bCs/>
      <w:noProof/>
      <w:color w:val="FF6600"/>
      <w:sz w:val="24"/>
      <w:szCs w:val="24"/>
      <w:lang w:eastAsia="he-IL"/>
    </w:rPr>
  </w:style>
  <w:style w:type="character" w:customStyle="1" w:styleId="Heading2Char">
    <w:name w:val="Heading 2 Char"/>
    <w:aliases w:val="s Char"/>
    <w:basedOn w:val="DefaultParagraphFont"/>
    <w:link w:val="Heading2"/>
    <w:rsid w:val="00C85AE8"/>
    <w:rPr>
      <w:rFonts w:ascii="Arial" w:eastAsia="Times New Roman" w:hAnsi="Arial" w:cs="Arial"/>
      <w:bCs/>
      <w:szCs w:val="20"/>
    </w:rPr>
  </w:style>
  <w:style w:type="character" w:customStyle="1" w:styleId="Heading3Char">
    <w:name w:val="Heading 3 Char"/>
    <w:aliases w:val="תת כותרת Char,כותרת 3 תו1 תו Char,כותרת 3 תו תו תו Char,Heading 3 תו תו תו Char"/>
    <w:basedOn w:val="DefaultParagraphFont"/>
    <w:link w:val="Heading3"/>
    <w:rsid w:val="00582E53"/>
    <w:rPr>
      <w:rFonts w:asciiTheme="minorBidi" w:eastAsia="Times New Roman" w:hAnsiTheme="minorBidi"/>
      <w:b/>
      <w:bCs/>
      <w:snapToGrid w:val="0"/>
      <w:color w:val="000000"/>
      <w:sz w:val="20"/>
      <w:szCs w:val="20"/>
    </w:rPr>
  </w:style>
  <w:style w:type="character" w:customStyle="1" w:styleId="Heading4Char">
    <w:name w:val="Heading 4 Char"/>
    <w:basedOn w:val="DefaultParagraphFont"/>
    <w:link w:val="Heading4"/>
    <w:rsid w:val="00952EB2"/>
    <w:rPr>
      <w:rFonts w:ascii="Arial" w:eastAsia="Times New Roman" w:hAnsi="Arial" w:cs="Arial"/>
      <w:bCs/>
      <w:snapToGrid w:val="0"/>
      <w:color w:val="000000"/>
      <w:sz w:val="24"/>
      <w:szCs w:val="20"/>
      <w:lang w:eastAsia="he-IL"/>
    </w:rPr>
  </w:style>
  <w:style w:type="character" w:customStyle="1" w:styleId="Heading5Char">
    <w:name w:val="Heading 5 Char"/>
    <w:basedOn w:val="DefaultParagraphFont"/>
    <w:link w:val="Heading5"/>
    <w:rsid w:val="00952EB2"/>
    <w:rPr>
      <w:rFonts w:ascii="Arial" w:eastAsia="Times New Roman" w:hAnsi="Arial" w:cs="Arial"/>
      <w:b/>
      <w:bCs/>
      <w:snapToGrid w:val="0"/>
      <w:color w:val="000000"/>
      <w:sz w:val="18"/>
      <w:szCs w:val="20"/>
      <w:lang w:eastAsia="he-IL"/>
    </w:rPr>
  </w:style>
  <w:style w:type="character" w:customStyle="1" w:styleId="Heading6Char">
    <w:name w:val="Heading 6 Char"/>
    <w:basedOn w:val="DefaultParagraphFont"/>
    <w:link w:val="Heading6"/>
    <w:rsid w:val="00952EB2"/>
    <w:rPr>
      <w:rFonts w:ascii="Arial" w:eastAsia="Times New Roman" w:hAnsi="Arial" w:cs="Times New Roman"/>
      <w:b/>
      <w:bCs/>
      <w:color w:val="000000"/>
      <w:sz w:val="18"/>
    </w:rPr>
  </w:style>
  <w:style w:type="character" w:customStyle="1" w:styleId="Heading7Char">
    <w:name w:val="Heading 7 Char"/>
    <w:basedOn w:val="DefaultParagraphFont"/>
    <w:link w:val="Heading7"/>
    <w:uiPriority w:val="99"/>
    <w:rsid w:val="00952EB2"/>
    <w:rPr>
      <w:rFonts w:ascii="Arial" w:eastAsia="Times New Roman" w:hAnsi="Arial" w:cs="Arial"/>
      <w:snapToGrid w:val="0"/>
      <w:color w:val="000000"/>
      <w:sz w:val="18"/>
      <w:szCs w:val="28"/>
      <w:lang w:eastAsia="he-IL"/>
    </w:rPr>
  </w:style>
  <w:style w:type="character" w:customStyle="1" w:styleId="Heading8Char">
    <w:name w:val="Heading 8 Char"/>
    <w:basedOn w:val="DefaultParagraphFont"/>
    <w:link w:val="Heading8"/>
    <w:uiPriority w:val="99"/>
    <w:rsid w:val="00952EB2"/>
    <w:rPr>
      <w:rFonts w:ascii="Arial" w:eastAsia="Times New Roman" w:hAnsi="Arial" w:cs="Times New Roman"/>
      <w:i/>
      <w:iCs/>
      <w:color w:val="000000"/>
      <w:sz w:val="24"/>
      <w:szCs w:val="20"/>
    </w:rPr>
  </w:style>
  <w:style w:type="character" w:customStyle="1" w:styleId="Heading9Char">
    <w:name w:val="Heading 9 Char"/>
    <w:basedOn w:val="DefaultParagraphFont"/>
    <w:link w:val="Heading9"/>
    <w:uiPriority w:val="99"/>
    <w:rsid w:val="00952EB2"/>
    <w:rPr>
      <w:rFonts w:ascii="Arial" w:eastAsia="Times New Roman" w:hAnsi="Arial" w:cs="Arial"/>
      <w:bCs/>
      <w:snapToGrid w:val="0"/>
      <w:color w:val="000000"/>
      <w:sz w:val="18"/>
      <w:szCs w:val="20"/>
      <w:u w:val="single"/>
      <w:lang w:eastAsia="he-IL"/>
    </w:rPr>
  </w:style>
  <w:style w:type="paragraph" w:customStyle="1" w:styleId="a">
    <w:name w:val="מספור אותיות"/>
    <w:basedOn w:val="Normal"/>
    <w:rsid w:val="00952EB2"/>
    <w:pPr>
      <w:numPr>
        <w:numId w:val="2"/>
      </w:numPr>
      <w:spacing w:before="200"/>
      <w:ind w:right="0"/>
    </w:pPr>
  </w:style>
  <w:style w:type="paragraph" w:styleId="Header">
    <w:name w:val="header"/>
    <w:basedOn w:val="Normal"/>
    <w:link w:val="HeaderChar"/>
    <w:rsid w:val="00952EB2"/>
    <w:pPr>
      <w:tabs>
        <w:tab w:val="center" w:pos="4153"/>
        <w:tab w:val="right" w:pos="8306"/>
      </w:tabs>
    </w:pPr>
  </w:style>
  <w:style w:type="character" w:customStyle="1" w:styleId="HeaderChar">
    <w:name w:val="Header Char"/>
    <w:basedOn w:val="DefaultParagraphFont"/>
    <w:link w:val="Header"/>
    <w:rsid w:val="00952EB2"/>
    <w:rPr>
      <w:rFonts w:ascii="Arial" w:eastAsia="Times New Roman" w:hAnsi="Arial" w:cs="Arial"/>
      <w:color w:val="000000"/>
      <w:sz w:val="18"/>
      <w:szCs w:val="20"/>
    </w:rPr>
  </w:style>
  <w:style w:type="paragraph" w:styleId="Footer">
    <w:name w:val="footer"/>
    <w:basedOn w:val="Normal"/>
    <w:link w:val="FooterChar"/>
    <w:uiPriority w:val="99"/>
    <w:rsid w:val="00952EB2"/>
    <w:pPr>
      <w:tabs>
        <w:tab w:val="center" w:pos="4153"/>
        <w:tab w:val="right" w:pos="8306"/>
      </w:tabs>
    </w:pPr>
  </w:style>
  <w:style w:type="character" w:customStyle="1" w:styleId="FooterChar">
    <w:name w:val="Footer Char"/>
    <w:basedOn w:val="DefaultParagraphFont"/>
    <w:link w:val="Footer"/>
    <w:uiPriority w:val="99"/>
    <w:rsid w:val="00952EB2"/>
    <w:rPr>
      <w:rFonts w:ascii="Arial" w:eastAsia="Times New Roman" w:hAnsi="Arial" w:cs="Arial"/>
      <w:color w:val="000000"/>
      <w:sz w:val="18"/>
      <w:szCs w:val="20"/>
    </w:rPr>
  </w:style>
  <w:style w:type="character" w:styleId="PageNumber">
    <w:name w:val="page number"/>
    <w:basedOn w:val="DefaultParagraphFont"/>
    <w:rsid w:val="00952EB2"/>
  </w:style>
  <w:style w:type="paragraph" w:customStyle="1" w:styleId="a1">
    <w:name w:val="ממוספר"/>
    <w:basedOn w:val="Normal"/>
    <w:uiPriority w:val="99"/>
    <w:rsid w:val="00952EB2"/>
    <w:pPr>
      <w:spacing w:before="200"/>
    </w:pPr>
  </w:style>
  <w:style w:type="paragraph" w:customStyle="1" w:styleId="a0">
    <w:name w:val="א"/>
    <w:basedOn w:val="Normal"/>
    <w:uiPriority w:val="99"/>
    <w:rsid w:val="00952EB2"/>
    <w:pPr>
      <w:numPr>
        <w:numId w:val="1"/>
      </w:numPr>
      <w:spacing w:before="200"/>
    </w:pPr>
  </w:style>
  <w:style w:type="paragraph" w:customStyle="1" w:styleId="a2">
    <w:name w:val="כותרת טבלה"/>
    <w:basedOn w:val="Normal"/>
    <w:link w:val="a3"/>
    <w:autoRedefine/>
    <w:uiPriority w:val="99"/>
    <w:rsid w:val="00952EB2"/>
    <w:pPr>
      <w:tabs>
        <w:tab w:val="left" w:pos="954"/>
        <w:tab w:val="left" w:pos="4340"/>
        <w:tab w:val="left" w:pos="5820"/>
        <w:tab w:val="left" w:pos="7220"/>
        <w:tab w:val="left" w:pos="8220"/>
        <w:tab w:val="left" w:pos="9240"/>
      </w:tabs>
      <w:spacing w:line="340" w:lineRule="exact"/>
    </w:pPr>
    <w:rPr>
      <w:b/>
      <w:bCs/>
      <w:snapToGrid w:val="0"/>
      <w:sz w:val="24"/>
    </w:rPr>
  </w:style>
  <w:style w:type="paragraph" w:styleId="Caption">
    <w:name w:val="caption"/>
    <w:basedOn w:val="Normal"/>
    <w:next w:val="Normal"/>
    <w:uiPriority w:val="99"/>
    <w:qFormat/>
    <w:rsid w:val="00952EB2"/>
    <w:pPr>
      <w:keepNext/>
      <w:numPr>
        <w:ilvl w:val="2"/>
        <w:numId w:val="4"/>
      </w:numPr>
      <w:spacing w:before="60" w:after="60" w:line="240" w:lineRule="atLeast"/>
      <w:ind w:right="0"/>
    </w:pPr>
    <w:rPr>
      <w:noProof/>
      <w:sz w:val="24"/>
      <w:szCs w:val="26"/>
      <w:u w:val="single"/>
      <w:lang w:eastAsia="he-IL"/>
    </w:rPr>
  </w:style>
  <w:style w:type="paragraph" w:customStyle="1" w:styleId="BalloonText1">
    <w:name w:val="Balloon Text1"/>
    <w:basedOn w:val="Normal"/>
    <w:semiHidden/>
    <w:rsid w:val="00952EB2"/>
    <w:rPr>
      <w:rFonts w:ascii="Tahoma" w:hAnsi="Tahoma" w:cs="Tahoma"/>
      <w:sz w:val="16"/>
      <w:szCs w:val="16"/>
    </w:rPr>
  </w:style>
  <w:style w:type="paragraph" w:styleId="FootnoteText">
    <w:name w:val="footnote text"/>
    <w:aliases w:val="VM_Note de bas de page,טקסט הערות שוליים תו,טקסט הערות שוליים תו תו,תו תו תו,טקסט הערות שוליים, תו תו תו"/>
    <w:basedOn w:val="Normal"/>
    <w:link w:val="FootnoteTextChar2"/>
    <w:rsid w:val="00952EB2"/>
    <w:pPr>
      <w:jc w:val="left"/>
    </w:pPr>
    <w:rPr>
      <w:rFonts w:cs="Miriam"/>
      <w:sz w:val="20"/>
    </w:rPr>
  </w:style>
  <w:style w:type="character" w:customStyle="1" w:styleId="FootnoteTextChar2">
    <w:name w:val="Footnote Text Char2"/>
    <w:aliases w:val="VM_Note de bas de page Char,טקסט הערות שוליים תו Char,טקסט הערות שוליים תו תו Char,תו תו תו Char,טקסט הערות שוליים Char, תו תו תו Char"/>
    <w:basedOn w:val="DefaultParagraphFont"/>
    <w:link w:val="FootnoteText"/>
    <w:rsid w:val="00952EB2"/>
    <w:rPr>
      <w:rFonts w:ascii="Arial" w:eastAsia="Times New Roman" w:hAnsi="Arial" w:cs="Miriam"/>
      <w:color w:val="000000"/>
      <w:sz w:val="20"/>
      <w:szCs w:val="20"/>
    </w:rPr>
  </w:style>
  <w:style w:type="character" w:styleId="FootnoteReference">
    <w:name w:val="footnote reference"/>
    <w:aliases w:val="הפנייה להערת שוליים,Footnote Reference + ‏10 נק'"/>
    <w:rsid w:val="00952EB2"/>
    <w:rPr>
      <w:vertAlign w:val="superscript"/>
    </w:rPr>
  </w:style>
  <w:style w:type="paragraph" w:customStyle="1" w:styleId="a4">
    <w:name w:val="ראש"/>
    <w:basedOn w:val="Heading6"/>
    <w:uiPriority w:val="99"/>
    <w:rsid w:val="00952EB2"/>
    <w:pPr>
      <w:keepNext/>
      <w:tabs>
        <w:tab w:val="left" w:pos="7440"/>
        <w:tab w:val="left" w:pos="8720"/>
      </w:tabs>
      <w:spacing w:before="0" w:after="0" w:line="320" w:lineRule="exact"/>
      <w:ind w:hanging="340"/>
    </w:pPr>
    <w:rPr>
      <w:rFonts w:cs="David"/>
      <w:b w:val="0"/>
      <w:bCs w:val="0"/>
      <w:snapToGrid w:val="0"/>
      <w:sz w:val="24"/>
      <w:szCs w:val="20"/>
      <w:lang w:eastAsia="he-IL"/>
    </w:rPr>
  </w:style>
  <w:style w:type="paragraph" w:styleId="Signature">
    <w:name w:val="Signature"/>
    <w:basedOn w:val="Normal"/>
    <w:link w:val="SignatureChar"/>
    <w:rsid w:val="00952EB2"/>
    <w:pPr>
      <w:ind w:left="4252"/>
    </w:pPr>
    <w:rPr>
      <w:sz w:val="24"/>
      <w:lang w:eastAsia="he-IL"/>
    </w:rPr>
  </w:style>
  <w:style w:type="character" w:customStyle="1" w:styleId="SignatureChar">
    <w:name w:val="Signature Char"/>
    <w:basedOn w:val="DefaultParagraphFont"/>
    <w:link w:val="Signature"/>
    <w:rsid w:val="00952EB2"/>
    <w:rPr>
      <w:rFonts w:ascii="Arial" w:eastAsia="Times New Roman" w:hAnsi="Arial" w:cs="Arial"/>
      <w:color w:val="000000"/>
      <w:sz w:val="24"/>
      <w:szCs w:val="20"/>
      <w:lang w:eastAsia="he-IL"/>
    </w:rPr>
  </w:style>
  <w:style w:type="paragraph" w:styleId="NormalWeb">
    <w:name w:val="Normal (Web)"/>
    <w:basedOn w:val="Normal"/>
    <w:uiPriority w:val="99"/>
    <w:rsid w:val="00952EB2"/>
    <w:pPr>
      <w:spacing w:before="100" w:beforeAutospacing="1" w:after="100" w:afterAutospacing="1"/>
      <w:jc w:val="left"/>
    </w:pPr>
    <w:rPr>
      <w:rFonts w:cs="Times New Roman"/>
      <w:sz w:val="24"/>
    </w:rPr>
  </w:style>
  <w:style w:type="paragraph" w:styleId="BlockText">
    <w:name w:val="Block Text"/>
    <w:basedOn w:val="Normal"/>
    <w:uiPriority w:val="99"/>
    <w:rsid w:val="00952EB2"/>
    <w:pPr>
      <w:tabs>
        <w:tab w:val="left" w:pos="4560"/>
        <w:tab w:val="left" w:pos="5480"/>
        <w:tab w:val="left" w:pos="6400"/>
        <w:tab w:val="left" w:pos="7540"/>
        <w:tab w:val="left" w:pos="8500"/>
        <w:tab w:val="left" w:pos="9440"/>
      </w:tabs>
      <w:spacing w:line="300" w:lineRule="exact"/>
      <w:ind w:left="318" w:right="318" w:hanging="318"/>
    </w:pPr>
    <w:rPr>
      <w:snapToGrid w:val="0"/>
      <w:sz w:val="24"/>
      <w:szCs w:val="18"/>
      <w:lang w:eastAsia="he-IL"/>
    </w:rPr>
  </w:style>
  <w:style w:type="paragraph" w:customStyle="1" w:styleId="a5">
    <w:name w:val="כותרת מלל"/>
    <w:basedOn w:val="Normal"/>
    <w:autoRedefine/>
    <w:uiPriority w:val="99"/>
    <w:rsid w:val="00952EB2"/>
    <w:pPr>
      <w:tabs>
        <w:tab w:val="left" w:pos="1946"/>
        <w:tab w:val="left" w:pos="1985"/>
        <w:tab w:val="left" w:pos="7440"/>
        <w:tab w:val="left" w:pos="8720"/>
      </w:tabs>
      <w:spacing w:line="340" w:lineRule="exact"/>
      <w:ind w:left="1474" w:right="1474" w:hanging="340"/>
    </w:pPr>
    <w:rPr>
      <w:rFonts w:cs="OronBlackMF"/>
      <w:snapToGrid w:val="0"/>
      <w:szCs w:val="22"/>
    </w:rPr>
  </w:style>
  <w:style w:type="paragraph" w:customStyle="1" w:styleId="-">
    <w:name w:val="תת-ראשי"/>
    <w:basedOn w:val="Normal"/>
    <w:autoRedefine/>
    <w:uiPriority w:val="99"/>
    <w:rsid w:val="00952EB2"/>
    <w:pPr>
      <w:tabs>
        <w:tab w:val="left" w:pos="2050"/>
        <w:tab w:val="left" w:pos="7440"/>
        <w:tab w:val="left" w:pos="8720"/>
        <w:tab w:val="left" w:pos="9070"/>
      </w:tabs>
      <w:spacing w:before="120" w:after="120" w:line="360" w:lineRule="auto"/>
      <w:ind w:left="2050"/>
    </w:pPr>
    <w:rPr>
      <w:snapToGrid w:val="0"/>
      <w:spacing w:val="10"/>
      <w:sz w:val="24"/>
    </w:rPr>
  </w:style>
  <w:style w:type="paragraph" w:styleId="BodyText">
    <w:name w:val="Body Text"/>
    <w:basedOn w:val="Normal"/>
    <w:link w:val="BodyTextChar"/>
    <w:uiPriority w:val="99"/>
    <w:rsid w:val="00952EB2"/>
    <w:rPr>
      <w:sz w:val="20"/>
    </w:rPr>
  </w:style>
  <w:style w:type="character" w:customStyle="1" w:styleId="BodyTextChar">
    <w:name w:val="Body Text Char"/>
    <w:basedOn w:val="DefaultParagraphFont"/>
    <w:link w:val="BodyText"/>
    <w:uiPriority w:val="99"/>
    <w:rsid w:val="00952EB2"/>
    <w:rPr>
      <w:rFonts w:ascii="Arial" w:eastAsia="Times New Roman" w:hAnsi="Arial" w:cs="Arial"/>
      <w:color w:val="000000"/>
      <w:sz w:val="20"/>
      <w:szCs w:val="20"/>
    </w:rPr>
  </w:style>
  <w:style w:type="paragraph" w:styleId="ListBullet">
    <w:name w:val="List Bullet"/>
    <w:basedOn w:val="Normal"/>
    <w:autoRedefine/>
    <w:rsid w:val="00952EB2"/>
    <w:pPr>
      <w:widowControl w:val="0"/>
      <w:numPr>
        <w:numId w:val="3"/>
      </w:numPr>
      <w:jc w:val="left"/>
    </w:pPr>
    <w:rPr>
      <w:snapToGrid w:val="0"/>
      <w:sz w:val="20"/>
      <w:lang w:eastAsia="he-IL"/>
    </w:rPr>
  </w:style>
  <w:style w:type="paragraph" w:styleId="BodyText2">
    <w:name w:val="Body Text 2"/>
    <w:basedOn w:val="Normal"/>
    <w:link w:val="BodyText2Char"/>
    <w:uiPriority w:val="99"/>
    <w:rsid w:val="00952EB2"/>
    <w:pPr>
      <w:spacing w:line="360" w:lineRule="auto"/>
    </w:pPr>
    <w:rPr>
      <w:color w:val="FF0000"/>
      <w:sz w:val="20"/>
      <w:lang w:eastAsia="he-IL"/>
    </w:rPr>
  </w:style>
  <w:style w:type="character" w:customStyle="1" w:styleId="BodyText2Char">
    <w:name w:val="Body Text 2 Char"/>
    <w:basedOn w:val="DefaultParagraphFont"/>
    <w:link w:val="BodyText2"/>
    <w:uiPriority w:val="99"/>
    <w:rsid w:val="00952EB2"/>
    <w:rPr>
      <w:rFonts w:ascii="Arial" w:eastAsia="Times New Roman" w:hAnsi="Arial" w:cs="Arial"/>
      <w:color w:val="FF0000"/>
      <w:sz w:val="20"/>
      <w:szCs w:val="20"/>
      <w:lang w:eastAsia="he-IL"/>
    </w:rPr>
  </w:style>
  <w:style w:type="paragraph" w:styleId="BodyTextIndent">
    <w:name w:val="Body Text Indent"/>
    <w:basedOn w:val="Normal"/>
    <w:link w:val="BodyTextIndentChar"/>
    <w:uiPriority w:val="99"/>
    <w:rsid w:val="00952EB2"/>
    <w:pPr>
      <w:widowControl w:val="0"/>
      <w:spacing w:line="340" w:lineRule="exact"/>
      <w:ind w:left="2489"/>
    </w:pPr>
    <w:rPr>
      <w:rFonts w:cs="OronMF"/>
      <w:snapToGrid w:val="0"/>
      <w:lang w:eastAsia="he-IL"/>
    </w:rPr>
  </w:style>
  <w:style w:type="character" w:customStyle="1" w:styleId="BodyTextIndentChar">
    <w:name w:val="Body Text Indent Char"/>
    <w:basedOn w:val="DefaultParagraphFont"/>
    <w:link w:val="BodyTextIndent"/>
    <w:uiPriority w:val="99"/>
    <w:rsid w:val="00952EB2"/>
    <w:rPr>
      <w:rFonts w:ascii="Arial" w:eastAsia="Times New Roman" w:hAnsi="Arial" w:cs="OronMF"/>
      <w:snapToGrid w:val="0"/>
      <w:color w:val="000000"/>
      <w:sz w:val="18"/>
      <w:szCs w:val="20"/>
      <w:lang w:eastAsia="he-IL"/>
    </w:rPr>
  </w:style>
  <w:style w:type="paragraph" w:customStyle="1" w:styleId="a6">
    <w:name w:val="כותרת"/>
    <w:basedOn w:val="Normal"/>
    <w:uiPriority w:val="99"/>
    <w:rsid w:val="00952EB2"/>
    <w:pPr>
      <w:spacing w:line="300" w:lineRule="exact"/>
      <w:ind w:left="2268"/>
    </w:pPr>
    <w:rPr>
      <w:rFonts w:cs="OronBlackMF"/>
      <w:snapToGrid w:val="0"/>
      <w:szCs w:val="26"/>
      <w:lang w:eastAsia="he-IL"/>
    </w:rPr>
  </w:style>
  <w:style w:type="paragraph" w:styleId="BodyTextIndent2">
    <w:name w:val="Body Text Indent 2"/>
    <w:basedOn w:val="Normal"/>
    <w:link w:val="BodyTextIndent2Char"/>
    <w:uiPriority w:val="99"/>
    <w:rsid w:val="00952EB2"/>
    <w:pPr>
      <w:overflowPunct w:val="0"/>
      <w:autoSpaceDE w:val="0"/>
      <w:autoSpaceDN w:val="0"/>
      <w:adjustRightInd w:val="0"/>
      <w:spacing w:line="360" w:lineRule="auto"/>
      <w:ind w:firstLine="271"/>
      <w:textAlignment w:val="baseline"/>
    </w:pPr>
    <w:rPr>
      <w:rFonts w:cs="Times New Roman"/>
      <w:sz w:val="24"/>
      <w:lang w:eastAsia="he-IL"/>
    </w:rPr>
  </w:style>
  <w:style w:type="character" w:customStyle="1" w:styleId="BodyTextIndent2Char">
    <w:name w:val="Body Text Indent 2 Char"/>
    <w:basedOn w:val="DefaultParagraphFont"/>
    <w:link w:val="BodyTextIndent2"/>
    <w:uiPriority w:val="99"/>
    <w:rsid w:val="00952EB2"/>
    <w:rPr>
      <w:rFonts w:ascii="Arial" w:eastAsia="Times New Roman" w:hAnsi="Arial" w:cs="Times New Roman"/>
      <w:color w:val="000000"/>
      <w:sz w:val="24"/>
      <w:szCs w:val="20"/>
      <w:lang w:eastAsia="he-IL"/>
    </w:rPr>
  </w:style>
  <w:style w:type="paragraph" w:customStyle="1" w:styleId="a7">
    <w:name w:val="טפחות"/>
    <w:rsid w:val="00952EB2"/>
    <w:pPr>
      <w:spacing w:after="0" w:line="360" w:lineRule="auto"/>
      <w:jc w:val="both"/>
    </w:pPr>
    <w:rPr>
      <w:rFonts w:ascii="Courier New" w:eastAsia="Times New Roman" w:hAnsi="Courier New" w:cs="David"/>
      <w:szCs w:val="24"/>
      <w:lang w:eastAsia="he-IL"/>
    </w:rPr>
  </w:style>
  <w:style w:type="paragraph" w:styleId="BodyTextIndent3">
    <w:name w:val="Body Text Indent 3"/>
    <w:basedOn w:val="Normal"/>
    <w:link w:val="BodyTextIndent3Char"/>
    <w:rsid w:val="00952EB2"/>
    <w:pPr>
      <w:widowControl w:val="0"/>
      <w:spacing w:line="320" w:lineRule="exact"/>
      <w:ind w:left="2268"/>
    </w:pPr>
    <w:rPr>
      <w:rFonts w:cs="OronMF"/>
      <w:b/>
      <w:bCs/>
      <w:snapToGrid w:val="0"/>
      <w:lang w:eastAsia="he-IL"/>
    </w:rPr>
  </w:style>
  <w:style w:type="character" w:customStyle="1" w:styleId="BodyTextIndent3Char">
    <w:name w:val="Body Text Indent 3 Char"/>
    <w:basedOn w:val="DefaultParagraphFont"/>
    <w:link w:val="BodyTextIndent3"/>
    <w:rsid w:val="00952EB2"/>
    <w:rPr>
      <w:rFonts w:ascii="Arial" w:eastAsia="Times New Roman" w:hAnsi="Arial" w:cs="OronMF"/>
      <w:b/>
      <w:bCs/>
      <w:snapToGrid w:val="0"/>
      <w:color w:val="000000"/>
      <w:sz w:val="18"/>
      <w:szCs w:val="20"/>
      <w:lang w:eastAsia="he-IL"/>
    </w:rPr>
  </w:style>
  <w:style w:type="paragraph" w:styleId="BodyText3">
    <w:name w:val="Body Text 3"/>
    <w:basedOn w:val="Normal"/>
    <w:link w:val="BodyText3Char"/>
    <w:uiPriority w:val="99"/>
    <w:rsid w:val="00952EB2"/>
    <w:pPr>
      <w:widowControl w:val="0"/>
      <w:jc w:val="center"/>
    </w:pPr>
    <w:rPr>
      <w:snapToGrid w:val="0"/>
      <w:sz w:val="20"/>
      <w:lang w:eastAsia="he-IL"/>
    </w:rPr>
  </w:style>
  <w:style w:type="character" w:customStyle="1" w:styleId="BodyText3Char">
    <w:name w:val="Body Text 3 Char"/>
    <w:basedOn w:val="DefaultParagraphFont"/>
    <w:link w:val="BodyText3"/>
    <w:uiPriority w:val="99"/>
    <w:rsid w:val="00952EB2"/>
    <w:rPr>
      <w:rFonts w:ascii="Arial" w:eastAsia="Times New Roman" w:hAnsi="Arial" w:cs="Arial"/>
      <w:snapToGrid w:val="0"/>
      <w:color w:val="000000"/>
      <w:sz w:val="20"/>
      <w:szCs w:val="20"/>
      <w:lang w:eastAsia="he-IL"/>
    </w:rPr>
  </w:style>
  <w:style w:type="paragraph" w:customStyle="1" w:styleId="10">
    <w:name w:val="סגנון1"/>
    <w:basedOn w:val="Normal"/>
    <w:autoRedefine/>
    <w:uiPriority w:val="99"/>
    <w:rsid w:val="00952EB2"/>
    <w:pPr>
      <w:tabs>
        <w:tab w:val="left" w:pos="386"/>
      </w:tabs>
      <w:spacing w:line="360" w:lineRule="auto"/>
    </w:pPr>
    <w:rPr>
      <w:sz w:val="24"/>
    </w:rPr>
  </w:style>
  <w:style w:type="paragraph" w:customStyle="1" w:styleId="a8">
    <w:name w:val="ממוספר תו"/>
    <w:basedOn w:val="Normal"/>
    <w:rsid w:val="00952EB2"/>
    <w:pPr>
      <w:spacing w:before="200"/>
    </w:pPr>
    <w:rPr>
      <w:snapToGrid w:val="0"/>
    </w:rPr>
  </w:style>
  <w:style w:type="character" w:customStyle="1" w:styleId="a9">
    <w:name w:val="ממוספר תו תו"/>
    <w:rsid w:val="00952EB2"/>
    <w:rPr>
      <w:rFonts w:cs="David"/>
      <w:snapToGrid w:val="0"/>
      <w:sz w:val="22"/>
      <w:szCs w:val="24"/>
      <w:lang w:val="en-US" w:eastAsia="en-US" w:bidi="he-IL"/>
    </w:rPr>
  </w:style>
  <w:style w:type="paragraph" w:styleId="Title">
    <w:name w:val="Title"/>
    <w:aliases w:val="איות 2"/>
    <w:basedOn w:val="Normal"/>
    <w:link w:val="TitleChar"/>
    <w:uiPriority w:val="99"/>
    <w:rsid w:val="00952EB2"/>
    <w:pPr>
      <w:jc w:val="center"/>
    </w:pPr>
    <w:rPr>
      <w:b/>
      <w:bCs/>
      <w:sz w:val="20"/>
      <w:szCs w:val="32"/>
      <w:u w:val="single"/>
    </w:rPr>
  </w:style>
  <w:style w:type="character" w:customStyle="1" w:styleId="TitleChar">
    <w:name w:val="Title Char"/>
    <w:aliases w:val="איות 2 Char"/>
    <w:basedOn w:val="DefaultParagraphFont"/>
    <w:link w:val="Title"/>
    <w:uiPriority w:val="99"/>
    <w:rsid w:val="00952EB2"/>
    <w:rPr>
      <w:rFonts w:ascii="Arial" w:eastAsia="Times New Roman" w:hAnsi="Arial" w:cs="Arial"/>
      <w:b/>
      <w:bCs/>
      <w:color w:val="000000"/>
      <w:sz w:val="20"/>
      <w:szCs w:val="32"/>
      <w:u w:val="single"/>
    </w:rPr>
  </w:style>
  <w:style w:type="paragraph" w:styleId="EndnoteText">
    <w:name w:val="endnote text"/>
    <w:basedOn w:val="Normal"/>
    <w:link w:val="EndnoteTextChar"/>
    <w:uiPriority w:val="99"/>
    <w:rsid w:val="00952EB2"/>
    <w:rPr>
      <w:sz w:val="20"/>
    </w:rPr>
  </w:style>
  <w:style w:type="character" w:customStyle="1" w:styleId="EndnoteTextChar">
    <w:name w:val="Endnote Text Char"/>
    <w:basedOn w:val="DefaultParagraphFont"/>
    <w:link w:val="EndnoteText"/>
    <w:uiPriority w:val="99"/>
    <w:rsid w:val="00952EB2"/>
    <w:rPr>
      <w:rFonts w:ascii="Arial" w:eastAsia="Times New Roman" w:hAnsi="Arial" w:cs="Arial"/>
      <w:color w:val="000000"/>
      <w:sz w:val="20"/>
      <w:szCs w:val="20"/>
    </w:rPr>
  </w:style>
  <w:style w:type="character" w:styleId="EndnoteReference">
    <w:name w:val="endnote reference"/>
    <w:rsid w:val="00952EB2"/>
    <w:rPr>
      <w:vertAlign w:val="superscript"/>
    </w:rPr>
  </w:style>
  <w:style w:type="table" w:styleId="TableGrid">
    <w:name w:val="Table Grid"/>
    <w:basedOn w:val="TableNormal"/>
    <w:uiPriority w:val="59"/>
    <w:rsid w:val="00952EB2"/>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rsid w:val="00952EB2"/>
    <w:rPr>
      <w:rFonts w:ascii="Tahoma" w:hAnsi="Tahoma" w:cs="Tahoma"/>
      <w:sz w:val="16"/>
      <w:szCs w:val="16"/>
    </w:rPr>
  </w:style>
  <w:style w:type="character" w:customStyle="1" w:styleId="BalloonTextChar">
    <w:name w:val="Balloon Text Char"/>
    <w:basedOn w:val="DefaultParagraphFont"/>
    <w:link w:val="BalloonText"/>
    <w:uiPriority w:val="99"/>
    <w:rsid w:val="00952EB2"/>
    <w:rPr>
      <w:rFonts w:ascii="Tahoma" w:eastAsia="Times New Roman" w:hAnsi="Tahoma" w:cs="Tahoma"/>
      <w:color w:val="000000"/>
      <w:sz w:val="16"/>
      <w:szCs w:val="16"/>
    </w:rPr>
  </w:style>
  <w:style w:type="table" w:styleId="TableList3">
    <w:name w:val="Table List 3"/>
    <w:basedOn w:val="TableNormal"/>
    <w:rsid w:val="00952EB2"/>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character" w:styleId="Strong">
    <w:name w:val="Strong"/>
    <w:aliases w:val="איות"/>
    <w:rsid w:val="00952EB2"/>
    <w:rPr>
      <w:b/>
      <w:bCs/>
    </w:rPr>
  </w:style>
  <w:style w:type="paragraph" w:customStyle="1" w:styleId="11">
    <w:name w:val="1"/>
    <w:basedOn w:val="Normal"/>
    <w:uiPriority w:val="99"/>
    <w:rsid w:val="00952EB2"/>
    <w:pPr>
      <w:spacing w:after="160" w:line="240" w:lineRule="exact"/>
      <w:jc w:val="left"/>
    </w:pPr>
    <w:rPr>
      <w:rFonts w:ascii="Tahoma" w:hAnsi="Tahoma" w:cs="Times New Roman"/>
      <w:color w:val="auto"/>
      <w:sz w:val="20"/>
      <w:lang w:bidi="ar-SA"/>
    </w:rPr>
  </w:style>
  <w:style w:type="paragraph" w:customStyle="1" w:styleId="12">
    <w:name w:val="תו1"/>
    <w:basedOn w:val="Normal"/>
    <w:uiPriority w:val="99"/>
    <w:rsid w:val="00952EB2"/>
    <w:pPr>
      <w:spacing w:after="160" w:line="240" w:lineRule="exact"/>
      <w:jc w:val="left"/>
    </w:pPr>
    <w:rPr>
      <w:rFonts w:ascii="Tahoma" w:hAnsi="Tahoma" w:cs="Times New Roman"/>
      <w:color w:val="auto"/>
      <w:sz w:val="20"/>
      <w:lang w:bidi="ar-SA"/>
    </w:rPr>
  </w:style>
  <w:style w:type="paragraph" w:customStyle="1" w:styleId="Char">
    <w:name w:val="Char"/>
    <w:basedOn w:val="Normal"/>
    <w:next w:val="Normal"/>
    <w:autoRedefine/>
    <w:rsid w:val="00952EB2"/>
    <w:pPr>
      <w:spacing w:after="160" w:line="240" w:lineRule="exact"/>
      <w:jc w:val="right"/>
    </w:pPr>
    <w:rPr>
      <w:rFonts w:ascii="Tahoma" w:hAnsi="Tahoma"/>
      <w:color w:val="auto"/>
      <w:sz w:val="22"/>
      <w:szCs w:val="24"/>
      <w:lang w:bidi="ar-SA"/>
    </w:rPr>
  </w:style>
  <w:style w:type="paragraph" w:customStyle="1" w:styleId="1">
    <w:name w:val="כות1"/>
    <w:basedOn w:val="Heading1"/>
    <w:next w:val="2"/>
    <w:rsid w:val="00952EB2"/>
    <w:pPr>
      <w:numPr>
        <w:numId w:val="5"/>
      </w:numPr>
      <w:spacing w:line="360" w:lineRule="auto"/>
    </w:pPr>
    <w:rPr>
      <w:rFonts w:ascii="Times New Roman" w:hAnsi="Times New Roman" w:cs="David"/>
      <w:bCs w:val="0"/>
      <w:color w:val="auto"/>
      <w:szCs w:val="28"/>
    </w:rPr>
  </w:style>
  <w:style w:type="paragraph" w:customStyle="1" w:styleId="2">
    <w:name w:val="כות2"/>
    <w:basedOn w:val="Heading2"/>
    <w:link w:val="20"/>
    <w:rsid w:val="00952EB2"/>
    <w:pPr>
      <w:numPr>
        <w:ilvl w:val="3"/>
        <w:numId w:val="5"/>
      </w:numPr>
      <w:spacing w:after="0" w:line="360" w:lineRule="auto"/>
      <w:jc w:val="left"/>
    </w:pPr>
    <w:rPr>
      <w:rFonts w:cs="David"/>
      <w:bCs w:val="0"/>
      <w:iCs/>
      <w:szCs w:val="24"/>
    </w:rPr>
  </w:style>
  <w:style w:type="character" w:customStyle="1" w:styleId="20">
    <w:name w:val="כות2 תו"/>
    <w:link w:val="2"/>
    <w:rsid w:val="00952EB2"/>
    <w:rPr>
      <w:rFonts w:ascii="Arial" w:eastAsia="Times New Roman" w:hAnsi="Arial" w:cs="David"/>
      <w:iCs/>
      <w:szCs w:val="24"/>
    </w:rPr>
  </w:style>
  <w:style w:type="paragraph" w:customStyle="1" w:styleId="3">
    <w:name w:val="כות3"/>
    <w:basedOn w:val="Heading3"/>
    <w:rsid w:val="00952EB2"/>
    <w:pPr>
      <w:numPr>
        <w:ilvl w:val="2"/>
        <w:numId w:val="5"/>
      </w:numPr>
      <w:tabs>
        <w:tab w:val="clear" w:pos="5140"/>
        <w:tab w:val="clear" w:pos="5960"/>
        <w:tab w:val="clear" w:pos="6680"/>
        <w:tab w:val="clear" w:pos="7360"/>
        <w:tab w:val="clear" w:pos="8320"/>
        <w:tab w:val="clear" w:pos="9360"/>
      </w:tabs>
      <w:spacing w:line="360" w:lineRule="auto"/>
    </w:pPr>
    <w:rPr>
      <w:rFonts w:cs="David"/>
      <w:b w:val="0"/>
      <w:bCs w:val="0"/>
      <w:snapToGrid/>
      <w:color w:val="auto"/>
      <w:sz w:val="26"/>
      <w:szCs w:val="24"/>
    </w:rPr>
  </w:style>
  <w:style w:type="paragraph" w:customStyle="1" w:styleId="21">
    <w:name w:val="סגנון2"/>
    <w:basedOn w:val="Normal"/>
    <w:rsid w:val="00952EB2"/>
    <w:pPr>
      <w:ind w:left="567" w:hanging="567"/>
    </w:pPr>
    <w:rPr>
      <w:rFonts w:ascii="Times New Roman" w:hAnsi="Times New Roman" w:cs="David"/>
      <w:color w:val="auto"/>
      <w:sz w:val="20"/>
    </w:rPr>
  </w:style>
  <w:style w:type="paragraph" w:customStyle="1" w:styleId="HeadHatzaotHok">
    <w:name w:val="Head HatzaotHok"/>
    <w:basedOn w:val="Normal"/>
    <w:link w:val="HeadHatzaotHok0"/>
    <w:rsid w:val="00952EB2"/>
    <w:pPr>
      <w:keepNext/>
      <w:keepLines/>
      <w:widowControl w:val="0"/>
      <w:autoSpaceDE w:val="0"/>
      <w:autoSpaceDN w:val="0"/>
      <w:adjustRightInd w:val="0"/>
      <w:snapToGrid w:val="0"/>
      <w:spacing w:before="240" w:line="360" w:lineRule="auto"/>
      <w:ind w:firstLine="340"/>
      <w:jc w:val="center"/>
      <w:textAlignment w:val="center"/>
    </w:pPr>
    <w:rPr>
      <w:rFonts w:cs="David"/>
      <w:b/>
      <w:bCs/>
      <w:spacing w:val="1"/>
      <w:sz w:val="20"/>
      <w:szCs w:val="26"/>
      <w:lang w:eastAsia="ja-JP"/>
    </w:rPr>
  </w:style>
  <w:style w:type="character" w:customStyle="1" w:styleId="HeadHatzaotHok0">
    <w:name w:val="Head HatzaotHok תו"/>
    <w:link w:val="HeadHatzaotHok"/>
    <w:locked/>
    <w:rsid w:val="00952EB2"/>
    <w:rPr>
      <w:rFonts w:ascii="Arial" w:eastAsia="Times New Roman" w:hAnsi="Arial" w:cs="David"/>
      <w:b/>
      <w:bCs/>
      <w:color w:val="000000"/>
      <w:spacing w:val="1"/>
      <w:sz w:val="20"/>
      <w:szCs w:val="26"/>
      <w:lang w:eastAsia="ja-JP"/>
    </w:rPr>
  </w:style>
  <w:style w:type="paragraph" w:customStyle="1" w:styleId="3CharChar">
    <w:name w:val="תו תו3 Char Char"/>
    <w:basedOn w:val="Normal"/>
    <w:rsid w:val="00952EB2"/>
    <w:pPr>
      <w:spacing w:after="160" w:line="240" w:lineRule="exact"/>
      <w:jc w:val="left"/>
    </w:pPr>
    <w:rPr>
      <w:rFonts w:ascii="Tahoma" w:hAnsi="Tahoma" w:cs="Times New Roman"/>
      <w:color w:val="auto"/>
      <w:lang w:bidi="ar-SA"/>
    </w:rPr>
  </w:style>
  <w:style w:type="paragraph" w:styleId="PlainText">
    <w:name w:val="Plain Text"/>
    <w:basedOn w:val="Normal"/>
    <w:link w:val="PlainTextChar"/>
    <w:uiPriority w:val="99"/>
    <w:unhideWhenUsed/>
    <w:rsid w:val="00952EB2"/>
    <w:pPr>
      <w:jc w:val="left"/>
    </w:pPr>
    <w:rPr>
      <w:rFonts w:ascii="David" w:eastAsia="Calibri" w:hAnsi="Calibri" w:cs="David"/>
      <w:color w:val="auto"/>
      <w:sz w:val="22"/>
      <w:szCs w:val="22"/>
    </w:rPr>
  </w:style>
  <w:style w:type="character" w:customStyle="1" w:styleId="PlainTextChar">
    <w:name w:val="Plain Text Char"/>
    <w:basedOn w:val="DefaultParagraphFont"/>
    <w:link w:val="PlainText"/>
    <w:uiPriority w:val="99"/>
    <w:rsid w:val="00952EB2"/>
    <w:rPr>
      <w:rFonts w:ascii="David" w:eastAsia="Calibri" w:hAnsi="Calibri" w:cs="David"/>
    </w:rPr>
  </w:style>
  <w:style w:type="paragraph" w:customStyle="1" w:styleId="aa">
    <w:name w:val="תו"/>
    <w:basedOn w:val="Normal"/>
    <w:uiPriority w:val="99"/>
    <w:rsid w:val="00952EB2"/>
    <w:pPr>
      <w:spacing w:after="160" w:line="240" w:lineRule="exact"/>
      <w:jc w:val="left"/>
    </w:pPr>
    <w:rPr>
      <w:rFonts w:ascii="Tahoma" w:hAnsi="Tahoma" w:cs="Times New Roman"/>
      <w:color w:val="auto"/>
      <w:lang w:bidi="ar-SA"/>
    </w:rPr>
  </w:style>
  <w:style w:type="paragraph" w:customStyle="1" w:styleId="3CharChar0">
    <w:name w:val="תו תו3 Char Char"/>
    <w:basedOn w:val="Normal"/>
    <w:uiPriority w:val="99"/>
    <w:rsid w:val="00952EB2"/>
    <w:pPr>
      <w:spacing w:after="160" w:line="240" w:lineRule="exact"/>
      <w:jc w:val="left"/>
    </w:pPr>
    <w:rPr>
      <w:rFonts w:ascii="Tahoma" w:hAnsi="Tahoma" w:cs="Times New Roman"/>
      <w:color w:val="auto"/>
      <w:lang w:bidi="ar-SA"/>
    </w:rPr>
  </w:style>
  <w:style w:type="paragraph" w:customStyle="1" w:styleId="Char0">
    <w:name w:val="Char"/>
    <w:basedOn w:val="Normal"/>
    <w:next w:val="Normal"/>
    <w:autoRedefine/>
    <w:uiPriority w:val="99"/>
    <w:rsid w:val="00952EB2"/>
    <w:pPr>
      <w:spacing w:after="160" w:line="240" w:lineRule="exact"/>
      <w:jc w:val="right"/>
    </w:pPr>
    <w:rPr>
      <w:rFonts w:ascii="Tahoma" w:hAnsi="Tahoma"/>
      <w:color w:val="auto"/>
      <w:sz w:val="22"/>
      <w:szCs w:val="24"/>
      <w:lang w:bidi="ar-SA"/>
    </w:rPr>
  </w:style>
  <w:style w:type="paragraph" w:customStyle="1" w:styleId="CharCharCharChar">
    <w:name w:val="Char Char תו Char Char תו"/>
    <w:basedOn w:val="Normal"/>
    <w:rsid w:val="00952EB2"/>
    <w:pPr>
      <w:spacing w:before="240" w:after="160" w:line="240" w:lineRule="exact"/>
      <w:jc w:val="left"/>
    </w:pPr>
    <w:rPr>
      <w:rFonts w:ascii="Tahoma" w:hAnsi="Tahoma" w:cs="Tahoma"/>
      <w:color w:val="auto"/>
      <w:lang w:bidi="ar-SA"/>
    </w:rPr>
  </w:style>
  <w:style w:type="paragraph" w:customStyle="1" w:styleId="bullet1">
    <w:name w:val="bullet1"/>
    <w:basedOn w:val="Normal"/>
    <w:rsid w:val="00952EB2"/>
    <w:pPr>
      <w:tabs>
        <w:tab w:val="num" w:pos="1304"/>
      </w:tabs>
      <w:ind w:left="1304" w:hanging="510"/>
      <w:jc w:val="left"/>
    </w:pPr>
    <w:rPr>
      <w:color w:val="auto"/>
      <w:sz w:val="24"/>
      <w:szCs w:val="24"/>
    </w:rPr>
  </w:style>
  <w:style w:type="paragraph" w:customStyle="1" w:styleId="TableBlock">
    <w:name w:val="Table Block"/>
    <w:basedOn w:val="Normal"/>
    <w:rsid w:val="00952EB2"/>
    <w:pPr>
      <w:keepLines/>
      <w:widowControl w:val="0"/>
      <w:tabs>
        <w:tab w:val="left" w:pos="624"/>
        <w:tab w:val="left" w:pos="1247"/>
      </w:tabs>
      <w:autoSpaceDE w:val="0"/>
      <w:autoSpaceDN w:val="0"/>
      <w:adjustRightInd w:val="0"/>
      <w:snapToGrid w:val="0"/>
      <w:spacing w:before="102" w:line="360" w:lineRule="auto"/>
      <w:textAlignment w:val="center"/>
    </w:pPr>
    <w:rPr>
      <w:rFonts w:cs="David"/>
      <w:spacing w:val="1"/>
      <w:sz w:val="20"/>
      <w:szCs w:val="26"/>
      <w:lang w:eastAsia="ja-JP"/>
    </w:rPr>
  </w:style>
  <w:style w:type="paragraph" w:customStyle="1" w:styleId="ab">
    <w:name w:val="תו תו תו תו"/>
    <w:basedOn w:val="Normal"/>
    <w:rsid w:val="00952EB2"/>
    <w:pPr>
      <w:spacing w:after="160" w:line="240" w:lineRule="exact"/>
      <w:jc w:val="left"/>
    </w:pPr>
    <w:rPr>
      <w:rFonts w:ascii="Tahoma" w:hAnsi="Tahoma" w:cs="Times New Roman"/>
      <w:color w:val="auto"/>
      <w:sz w:val="20"/>
      <w:lang w:bidi="ar-SA"/>
    </w:rPr>
  </w:style>
  <w:style w:type="paragraph" w:customStyle="1" w:styleId="ListParagraph1">
    <w:name w:val="List Paragraph1"/>
    <w:basedOn w:val="Normal"/>
    <w:uiPriority w:val="99"/>
    <w:qFormat/>
    <w:rsid w:val="00952EB2"/>
    <w:pPr>
      <w:ind w:left="720"/>
      <w:contextualSpacing/>
    </w:pPr>
    <w:rPr>
      <w:rFonts w:eastAsia="Calibri"/>
    </w:rPr>
  </w:style>
  <w:style w:type="paragraph" w:styleId="ListParagraph">
    <w:name w:val="List Paragraph"/>
    <w:aliases w:val="end,פיסקת רשימה שלי"/>
    <w:basedOn w:val="Normal"/>
    <w:link w:val="ListParagraphChar"/>
    <w:uiPriority w:val="34"/>
    <w:qFormat/>
    <w:rsid w:val="00952EB2"/>
    <w:pPr>
      <w:ind w:left="720"/>
    </w:pPr>
  </w:style>
  <w:style w:type="character" w:styleId="Hyperlink">
    <w:name w:val="Hyperlink"/>
    <w:uiPriority w:val="99"/>
    <w:rsid w:val="00952EB2"/>
    <w:rPr>
      <w:color w:val="0000FF"/>
      <w:u w:val="single"/>
    </w:rPr>
  </w:style>
  <w:style w:type="paragraph" w:customStyle="1" w:styleId="13">
    <w:name w:val="פיסקת רשימה1"/>
    <w:basedOn w:val="Normal"/>
    <w:uiPriority w:val="34"/>
    <w:rsid w:val="00952EB2"/>
    <w:pPr>
      <w:ind w:left="720"/>
      <w:contextualSpacing/>
    </w:pPr>
    <w:rPr>
      <w:rFonts w:eastAsia="Calibri"/>
    </w:rPr>
  </w:style>
  <w:style w:type="character" w:styleId="CommentReference">
    <w:name w:val="annotation reference"/>
    <w:basedOn w:val="DefaultParagraphFont"/>
    <w:uiPriority w:val="99"/>
    <w:unhideWhenUsed/>
    <w:rsid w:val="006A4003"/>
    <w:rPr>
      <w:sz w:val="16"/>
      <w:szCs w:val="16"/>
    </w:rPr>
  </w:style>
  <w:style w:type="paragraph" w:styleId="CommentText">
    <w:name w:val="annotation text"/>
    <w:basedOn w:val="Normal"/>
    <w:link w:val="CommentTextChar"/>
    <w:uiPriority w:val="99"/>
    <w:unhideWhenUsed/>
    <w:rsid w:val="006A4003"/>
    <w:rPr>
      <w:sz w:val="20"/>
    </w:rPr>
  </w:style>
  <w:style w:type="character" w:customStyle="1" w:styleId="CommentTextChar">
    <w:name w:val="Comment Text Char"/>
    <w:basedOn w:val="DefaultParagraphFont"/>
    <w:link w:val="CommentText"/>
    <w:uiPriority w:val="99"/>
    <w:rsid w:val="006A4003"/>
    <w:rPr>
      <w:rFonts w:ascii="Arial" w:eastAsia="Times New Roman" w:hAnsi="Arial" w:cs="Arial"/>
      <w:color w:val="000000"/>
      <w:sz w:val="20"/>
      <w:szCs w:val="20"/>
    </w:rPr>
  </w:style>
  <w:style w:type="paragraph" w:styleId="CommentSubject">
    <w:name w:val="annotation subject"/>
    <w:basedOn w:val="CommentText"/>
    <w:next w:val="CommentText"/>
    <w:link w:val="CommentSubjectChar"/>
    <w:uiPriority w:val="99"/>
    <w:unhideWhenUsed/>
    <w:rsid w:val="006A4003"/>
    <w:rPr>
      <w:b/>
      <w:bCs/>
    </w:rPr>
  </w:style>
  <w:style w:type="character" w:customStyle="1" w:styleId="CommentSubjectChar">
    <w:name w:val="Comment Subject Char"/>
    <w:basedOn w:val="CommentTextChar"/>
    <w:link w:val="CommentSubject"/>
    <w:uiPriority w:val="99"/>
    <w:rsid w:val="006A4003"/>
    <w:rPr>
      <w:rFonts w:ascii="Arial" w:eastAsia="Times New Roman" w:hAnsi="Arial" w:cs="Arial"/>
      <w:b/>
      <w:bCs/>
      <w:color w:val="000000"/>
      <w:sz w:val="20"/>
      <w:szCs w:val="20"/>
    </w:rPr>
  </w:style>
  <w:style w:type="paragraph" w:customStyle="1" w:styleId="ac">
    <w:name w:val="תו תו תו תו תו תו תו תו תו תו תו תו תו תו תו תו תו תו תו תו תו תו תו תו תו תו תו תו תו תו תו תו"/>
    <w:basedOn w:val="Normal"/>
    <w:next w:val="Normal"/>
    <w:autoRedefine/>
    <w:rsid w:val="004269E3"/>
    <w:pPr>
      <w:spacing w:after="160" w:line="240" w:lineRule="exact"/>
      <w:jc w:val="right"/>
    </w:pPr>
    <w:rPr>
      <w:rFonts w:ascii="Tahoma" w:hAnsi="Tahoma"/>
      <w:color w:val="auto"/>
      <w:sz w:val="22"/>
      <w:szCs w:val="24"/>
      <w:lang w:bidi="ar-SA"/>
    </w:rPr>
  </w:style>
  <w:style w:type="paragraph" w:styleId="TOCHeading">
    <w:name w:val="TOC Heading"/>
    <w:basedOn w:val="Heading1"/>
    <w:next w:val="Normal"/>
    <w:uiPriority w:val="39"/>
    <w:unhideWhenUsed/>
    <w:qFormat/>
    <w:rsid w:val="00731FE1"/>
    <w:pPr>
      <w:keepLines/>
      <w:spacing w:before="240" w:line="259" w:lineRule="auto"/>
      <w:outlineLvl w:val="9"/>
    </w:pPr>
    <w:rPr>
      <w:rFonts w:asciiTheme="majorHAnsi" w:eastAsiaTheme="majorEastAsia" w:hAnsiTheme="majorHAnsi" w:cstheme="majorBidi"/>
      <w:bCs w:val="0"/>
      <w:color w:val="2E74B5" w:themeColor="accent1" w:themeShade="BF"/>
      <w:sz w:val="32"/>
      <w:szCs w:val="32"/>
      <w:lang w:bidi="ar-SA"/>
    </w:rPr>
  </w:style>
  <w:style w:type="paragraph" w:styleId="TOC2">
    <w:name w:val="toc 2"/>
    <w:basedOn w:val="Normal"/>
    <w:next w:val="Normal"/>
    <w:autoRedefine/>
    <w:uiPriority w:val="39"/>
    <w:unhideWhenUsed/>
    <w:qFormat/>
    <w:rsid w:val="005B17B0"/>
    <w:pPr>
      <w:pBdr>
        <w:top w:val="single" w:sz="8" w:space="1" w:color="FFFFFF" w:themeColor="background1"/>
        <w:bottom w:val="single" w:sz="8" w:space="1" w:color="FFFFFF" w:themeColor="background1"/>
        <w:between w:val="single" w:sz="8" w:space="1" w:color="FFFFFF" w:themeColor="background1"/>
      </w:pBdr>
      <w:shd w:val="clear" w:color="auto" w:fill="D9D9D9" w:themeFill="background1" w:themeFillShade="D9"/>
      <w:tabs>
        <w:tab w:val="right" w:pos="9582"/>
      </w:tabs>
      <w:spacing w:line="264" w:lineRule="auto"/>
      <w:jc w:val="left"/>
    </w:pPr>
    <w:rPr>
      <w:rFonts w:eastAsiaTheme="minorEastAsia"/>
      <w:noProof/>
      <w:color w:val="auto"/>
      <w:szCs w:val="18"/>
      <w:lang w:bidi="ar-SA"/>
    </w:rPr>
  </w:style>
  <w:style w:type="paragraph" w:styleId="TOC1">
    <w:name w:val="toc 1"/>
    <w:basedOn w:val="a2"/>
    <w:next w:val="Normal"/>
    <w:link w:val="TOC1Char"/>
    <w:autoRedefine/>
    <w:uiPriority w:val="39"/>
    <w:unhideWhenUsed/>
    <w:qFormat/>
    <w:rsid w:val="009045B2"/>
    <w:pPr>
      <w:tabs>
        <w:tab w:val="clear" w:pos="954"/>
        <w:tab w:val="clear" w:pos="4340"/>
        <w:tab w:val="clear" w:pos="5820"/>
        <w:tab w:val="clear" w:pos="7220"/>
        <w:tab w:val="clear" w:pos="8220"/>
        <w:tab w:val="clear" w:pos="9240"/>
        <w:tab w:val="right" w:leader="dot" w:pos="9289"/>
      </w:tabs>
      <w:spacing w:before="40" w:line="40" w:lineRule="atLeast"/>
      <w:jc w:val="left"/>
    </w:pPr>
    <w:rPr>
      <w:rFonts w:asciiTheme="minorBidi" w:eastAsiaTheme="minorEastAsia" w:hAnsiTheme="minorBidi" w:cstheme="minorBidi"/>
      <w:noProof/>
      <w:color w:val="auto"/>
      <w:sz w:val="20"/>
    </w:rPr>
  </w:style>
  <w:style w:type="paragraph" w:styleId="TOC3">
    <w:name w:val="toc 3"/>
    <w:basedOn w:val="Normal"/>
    <w:next w:val="Normal"/>
    <w:autoRedefine/>
    <w:uiPriority w:val="39"/>
    <w:unhideWhenUsed/>
    <w:qFormat/>
    <w:rsid w:val="00127E3A"/>
    <w:pPr>
      <w:shd w:val="clear" w:color="auto" w:fill="D9D9D9" w:themeFill="background1" w:themeFillShade="D9"/>
      <w:tabs>
        <w:tab w:val="left" w:pos="363"/>
        <w:tab w:val="right" w:pos="9582"/>
      </w:tabs>
      <w:spacing w:line="240" w:lineRule="exact"/>
    </w:pPr>
    <w:rPr>
      <w:rFonts w:eastAsiaTheme="minorEastAsia"/>
      <w:noProof/>
      <w:color w:val="auto"/>
      <w:szCs w:val="18"/>
      <w:lang w:bidi="ar-SA"/>
    </w:rPr>
  </w:style>
  <w:style w:type="paragraph" w:styleId="TOC4">
    <w:name w:val="toc 4"/>
    <w:basedOn w:val="Normal"/>
    <w:next w:val="Normal"/>
    <w:autoRedefine/>
    <w:uiPriority w:val="39"/>
    <w:unhideWhenUsed/>
    <w:rsid w:val="00731FE1"/>
    <w:pPr>
      <w:spacing w:after="100" w:line="259" w:lineRule="auto"/>
      <w:ind w:left="660"/>
      <w:jc w:val="left"/>
    </w:pPr>
    <w:rPr>
      <w:rFonts w:asciiTheme="minorHAnsi" w:eastAsiaTheme="minorEastAsia" w:hAnsiTheme="minorHAnsi" w:cstheme="minorBidi"/>
      <w:color w:val="auto"/>
      <w:sz w:val="22"/>
      <w:szCs w:val="22"/>
    </w:rPr>
  </w:style>
  <w:style w:type="paragraph" w:styleId="TOC5">
    <w:name w:val="toc 5"/>
    <w:basedOn w:val="Normal"/>
    <w:next w:val="Normal"/>
    <w:autoRedefine/>
    <w:uiPriority w:val="39"/>
    <w:unhideWhenUsed/>
    <w:rsid w:val="00731FE1"/>
    <w:pPr>
      <w:spacing w:after="100" w:line="259" w:lineRule="auto"/>
      <w:ind w:left="880"/>
      <w:jc w:val="left"/>
    </w:pPr>
    <w:rPr>
      <w:rFonts w:asciiTheme="minorHAnsi" w:eastAsiaTheme="minorEastAsia" w:hAnsiTheme="minorHAnsi" w:cstheme="minorBidi"/>
      <w:color w:val="auto"/>
      <w:sz w:val="22"/>
      <w:szCs w:val="22"/>
    </w:rPr>
  </w:style>
  <w:style w:type="paragraph" w:styleId="TOC6">
    <w:name w:val="toc 6"/>
    <w:basedOn w:val="Normal"/>
    <w:next w:val="Normal"/>
    <w:autoRedefine/>
    <w:uiPriority w:val="39"/>
    <w:unhideWhenUsed/>
    <w:rsid w:val="00731FE1"/>
    <w:pPr>
      <w:spacing w:after="100" w:line="259" w:lineRule="auto"/>
      <w:ind w:left="1100"/>
      <w:jc w:val="left"/>
    </w:pPr>
    <w:rPr>
      <w:rFonts w:asciiTheme="minorHAnsi" w:eastAsiaTheme="minorEastAsia" w:hAnsiTheme="minorHAnsi" w:cstheme="minorBidi"/>
      <w:color w:val="auto"/>
      <w:sz w:val="22"/>
      <w:szCs w:val="22"/>
    </w:rPr>
  </w:style>
  <w:style w:type="paragraph" w:styleId="TOC7">
    <w:name w:val="toc 7"/>
    <w:basedOn w:val="Normal"/>
    <w:next w:val="Normal"/>
    <w:autoRedefine/>
    <w:uiPriority w:val="39"/>
    <w:unhideWhenUsed/>
    <w:rsid w:val="00766CAB"/>
    <w:pPr>
      <w:spacing w:after="100" w:line="259" w:lineRule="auto"/>
      <w:ind w:left="7200"/>
      <w:jc w:val="right"/>
    </w:pPr>
    <w:rPr>
      <w:rFonts w:asciiTheme="minorHAnsi" w:eastAsiaTheme="minorEastAsia" w:hAnsiTheme="minorHAnsi" w:cstheme="minorBidi"/>
      <w:color w:val="auto"/>
      <w:sz w:val="22"/>
      <w:szCs w:val="22"/>
    </w:rPr>
  </w:style>
  <w:style w:type="paragraph" w:styleId="TOC8">
    <w:name w:val="toc 8"/>
    <w:basedOn w:val="Normal"/>
    <w:next w:val="Normal"/>
    <w:autoRedefine/>
    <w:uiPriority w:val="39"/>
    <w:unhideWhenUsed/>
    <w:rsid w:val="00731FE1"/>
    <w:pPr>
      <w:spacing w:after="100" w:line="259" w:lineRule="auto"/>
      <w:ind w:left="1540"/>
      <w:jc w:val="left"/>
    </w:pPr>
    <w:rPr>
      <w:rFonts w:asciiTheme="minorHAnsi" w:eastAsiaTheme="minorEastAsia" w:hAnsiTheme="minorHAnsi" w:cstheme="minorBidi"/>
      <w:color w:val="auto"/>
      <w:sz w:val="22"/>
      <w:szCs w:val="22"/>
    </w:rPr>
  </w:style>
  <w:style w:type="paragraph" w:styleId="TOC9">
    <w:name w:val="toc 9"/>
    <w:basedOn w:val="Normal"/>
    <w:next w:val="Normal"/>
    <w:autoRedefine/>
    <w:uiPriority w:val="39"/>
    <w:unhideWhenUsed/>
    <w:rsid w:val="00731FE1"/>
    <w:pPr>
      <w:spacing w:after="100" w:line="259" w:lineRule="auto"/>
      <w:ind w:left="1760"/>
      <w:jc w:val="left"/>
    </w:pPr>
    <w:rPr>
      <w:rFonts w:asciiTheme="minorHAnsi" w:eastAsiaTheme="minorEastAsia" w:hAnsiTheme="minorHAnsi" w:cstheme="minorBidi"/>
      <w:color w:val="auto"/>
      <w:sz w:val="22"/>
      <w:szCs w:val="22"/>
    </w:rPr>
  </w:style>
  <w:style w:type="character" w:customStyle="1" w:styleId="a3">
    <w:name w:val="כותרת טבלה תו"/>
    <w:basedOn w:val="DefaultParagraphFont"/>
    <w:link w:val="a2"/>
    <w:uiPriority w:val="99"/>
    <w:rsid w:val="002A2AAC"/>
    <w:rPr>
      <w:rFonts w:ascii="Arial" w:eastAsia="Times New Roman" w:hAnsi="Arial" w:cs="Arial"/>
      <w:b/>
      <w:bCs/>
      <w:snapToGrid w:val="0"/>
      <w:color w:val="000000"/>
      <w:sz w:val="24"/>
      <w:szCs w:val="20"/>
    </w:rPr>
  </w:style>
  <w:style w:type="character" w:customStyle="1" w:styleId="TOC1Char">
    <w:name w:val="TOC 1 Char"/>
    <w:basedOn w:val="a3"/>
    <w:link w:val="TOC1"/>
    <w:uiPriority w:val="39"/>
    <w:rsid w:val="009045B2"/>
    <w:rPr>
      <w:rFonts w:asciiTheme="minorBidi" w:eastAsiaTheme="minorEastAsia" w:hAnsiTheme="minorBidi" w:cs="Arial"/>
      <w:b/>
      <w:bCs/>
      <w:noProof/>
      <w:snapToGrid w:val="0"/>
      <w:color w:val="000000"/>
      <w:sz w:val="20"/>
      <w:szCs w:val="20"/>
    </w:rPr>
  </w:style>
  <w:style w:type="character" w:styleId="IntenseReference">
    <w:name w:val="Intense Reference"/>
    <w:basedOn w:val="DefaultParagraphFont"/>
    <w:uiPriority w:val="32"/>
    <w:qFormat/>
    <w:rsid w:val="007A5D52"/>
    <w:rPr>
      <w:b/>
      <w:bCs/>
      <w:smallCaps/>
      <w:color w:val="5B9BD5" w:themeColor="accent1"/>
      <w:spacing w:val="5"/>
    </w:rPr>
  </w:style>
  <w:style w:type="paragraph" w:customStyle="1" w:styleId="3-">
    <w:name w:val="3- חדש"/>
    <w:basedOn w:val="Normal"/>
    <w:link w:val="3-0"/>
    <w:rsid w:val="005958ED"/>
    <w:pPr>
      <w:tabs>
        <w:tab w:val="left" w:pos="930"/>
      </w:tabs>
      <w:spacing w:line="340" w:lineRule="exact"/>
    </w:pPr>
    <w:rPr>
      <w:b/>
      <w:bCs/>
      <w:color w:val="FF6600"/>
      <w:sz w:val="22"/>
      <w:szCs w:val="22"/>
    </w:rPr>
  </w:style>
  <w:style w:type="character" w:customStyle="1" w:styleId="3-0">
    <w:name w:val="3- חדש תו"/>
    <w:basedOn w:val="DefaultParagraphFont"/>
    <w:link w:val="3-"/>
    <w:rsid w:val="005958ED"/>
    <w:rPr>
      <w:rFonts w:ascii="Arial" w:eastAsia="Times New Roman" w:hAnsi="Arial" w:cs="Arial"/>
      <w:b/>
      <w:bCs/>
      <w:color w:val="FF6600"/>
    </w:rPr>
  </w:style>
  <w:style w:type="paragraph" w:customStyle="1" w:styleId="ad">
    <w:name w:val="הפניות ידניות"/>
    <w:basedOn w:val="ListParagraph"/>
    <w:link w:val="ae"/>
    <w:rsid w:val="00C85FF1"/>
    <w:pPr>
      <w:tabs>
        <w:tab w:val="left" w:pos="363"/>
      </w:tabs>
      <w:spacing w:line="220" w:lineRule="exact"/>
      <w:ind w:left="0"/>
      <w:contextualSpacing/>
      <w:jc w:val="left"/>
    </w:pPr>
    <w:rPr>
      <w:rFonts w:asciiTheme="minorHAnsi" w:eastAsiaTheme="minorHAnsi" w:hAnsiTheme="minorHAnsi" w:cstheme="minorBidi"/>
      <w:color w:val="auto"/>
      <w:sz w:val="16"/>
      <w:szCs w:val="16"/>
    </w:rPr>
  </w:style>
  <w:style w:type="character" w:customStyle="1" w:styleId="ae">
    <w:name w:val="הפניות ידניות תו"/>
    <w:basedOn w:val="DefaultParagraphFont"/>
    <w:link w:val="ad"/>
    <w:rsid w:val="00C85FF1"/>
    <w:rPr>
      <w:sz w:val="16"/>
      <w:szCs w:val="16"/>
    </w:rPr>
  </w:style>
  <w:style w:type="paragraph" w:customStyle="1" w:styleId="-0">
    <w:name w:val="מקו -"/>
    <w:basedOn w:val="Normal"/>
    <w:link w:val="-1"/>
    <w:rsid w:val="0039328C"/>
    <w:pPr>
      <w:spacing w:line="340" w:lineRule="exact"/>
      <w:ind w:right="570"/>
    </w:pPr>
    <w:rPr>
      <w:spacing w:val="-4"/>
      <w:sz w:val="16"/>
      <w:szCs w:val="18"/>
    </w:rPr>
  </w:style>
  <w:style w:type="character" w:customStyle="1" w:styleId="-1">
    <w:name w:val="מקו - תו"/>
    <w:basedOn w:val="DefaultParagraphFont"/>
    <w:link w:val="-0"/>
    <w:rsid w:val="0039328C"/>
    <w:rPr>
      <w:rFonts w:ascii="Arial" w:eastAsia="Times New Roman" w:hAnsi="Arial" w:cs="Arial"/>
      <w:color w:val="000000"/>
      <w:spacing w:val="-4"/>
      <w:sz w:val="16"/>
      <w:szCs w:val="18"/>
    </w:rPr>
  </w:style>
  <w:style w:type="character" w:customStyle="1" w:styleId="ListParagraphChar">
    <w:name w:val="List Paragraph Char"/>
    <w:aliases w:val="end Char,פיסקת רשימה שלי Char"/>
    <w:basedOn w:val="DefaultParagraphFont"/>
    <w:link w:val="ListParagraph"/>
    <w:uiPriority w:val="34"/>
    <w:locked/>
    <w:rsid w:val="00A944B2"/>
    <w:rPr>
      <w:rFonts w:ascii="Arial" w:eastAsia="Times New Roman" w:hAnsi="Arial" w:cs="Arial"/>
      <w:color w:val="000000"/>
      <w:sz w:val="18"/>
      <w:szCs w:val="20"/>
    </w:rPr>
  </w:style>
  <w:style w:type="table" w:customStyle="1" w:styleId="-11">
    <w:name w:val="רשת בהירה - הדגשה 11"/>
    <w:uiPriority w:val="99"/>
    <w:rsid w:val="005B42AD"/>
    <w:pPr>
      <w:spacing w:after="0" w:line="240" w:lineRule="auto"/>
    </w:pPr>
    <w:rPr>
      <w:rFonts w:ascii="Calibri" w:eastAsia="Calibri" w:hAnsi="Calibri" w:cs="Arial"/>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paragraph" w:customStyle="1" w:styleId="af">
    <w:name w:val="תו תו תו תו תו תו תו תו תו תו תו תו תו תו תו תו תו תו תו תו תו תו תו תו תו תו תו תו תו תו תו תו"/>
    <w:basedOn w:val="Normal"/>
    <w:next w:val="Normal"/>
    <w:autoRedefine/>
    <w:uiPriority w:val="99"/>
    <w:rsid w:val="00DD0B58"/>
    <w:pPr>
      <w:spacing w:after="160" w:line="240" w:lineRule="exact"/>
      <w:jc w:val="right"/>
    </w:pPr>
    <w:rPr>
      <w:rFonts w:ascii="Tahoma" w:hAnsi="Tahoma"/>
      <w:color w:val="auto"/>
      <w:sz w:val="22"/>
      <w:szCs w:val="24"/>
      <w:lang w:bidi="ar-SA"/>
    </w:rPr>
  </w:style>
  <w:style w:type="paragraph" w:styleId="Revision">
    <w:name w:val="Revision"/>
    <w:hidden/>
    <w:uiPriority w:val="99"/>
    <w:semiHidden/>
    <w:rsid w:val="006C130E"/>
    <w:pPr>
      <w:spacing w:after="0" w:line="240" w:lineRule="auto"/>
    </w:pPr>
    <w:rPr>
      <w:rFonts w:ascii="Arial" w:eastAsia="Times New Roman" w:hAnsi="Arial" w:cs="Arial"/>
      <w:color w:val="000000"/>
      <w:sz w:val="18"/>
      <w:szCs w:val="20"/>
    </w:rPr>
  </w:style>
  <w:style w:type="paragraph" w:customStyle="1" w:styleId="2-">
    <w:name w:val="2 - חדש"/>
    <w:basedOn w:val="Normal"/>
    <w:link w:val="2-0"/>
    <w:rsid w:val="001F0840"/>
    <w:pPr>
      <w:spacing w:line="340" w:lineRule="exact"/>
      <w:jc w:val="left"/>
    </w:pPr>
    <w:rPr>
      <w:b/>
      <w:bCs/>
      <w:color w:val="FF6600"/>
      <w:sz w:val="24"/>
      <w:szCs w:val="24"/>
    </w:rPr>
  </w:style>
  <w:style w:type="character" w:customStyle="1" w:styleId="2-0">
    <w:name w:val="2 - חדש תו"/>
    <w:basedOn w:val="DefaultParagraphFont"/>
    <w:link w:val="2-"/>
    <w:rsid w:val="001F0840"/>
    <w:rPr>
      <w:rFonts w:ascii="Arial" w:eastAsia="Times New Roman" w:hAnsi="Arial" w:cs="Arial"/>
      <w:b/>
      <w:bCs/>
      <w:color w:val="FF6600"/>
      <w:sz w:val="24"/>
      <w:szCs w:val="24"/>
    </w:rPr>
  </w:style>
  <w:style w:type="paragraph" w:customStyle="1" w:styleId="12-">
    <w:name w:val="12 - חדש לפחות"/>
    <w:basedOn w:val="Heading1"/>
    <w:rsid w:val="00C94C45"/>
    <w:pPr>
      <w:spacing w:after="0"/>
    </w:pPr>
  </w:style>
  <w:style w:type="paragraph" w:customStyle="1" w:styleId="2-2">
    <w:name w:val="כותרת 2 - לפחות 2"/>
    <w:basedOn w:val="Normal"/>
    <w:autoRedefine/>
    <w:rsid w:val="00B17964"/>
    <w:pPr>
      <w:spacing w:before="120" w:after="80" w:line="40" w:lineRule="atLeast"/>
    </w:pPr>
    <w:rPr>
      <w:b/>
      <w:bCs/>
      <w:sz w:val="22"/>
      <w:szCs w:val="22"/>
    </w:rPr>
  </w:style>
  <w:style w:type="table" w:customStyle="1" w:styleId="4">
    <w:name w:val="טבלת רשת4"/>
    <w:basedOn w:val="TableNormal"/>
    <w:next w:val="TableGrid"/>
    <w:uiPriority w:val="59"/>
    <w:rsid w:val="00C725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dex1">
    <w:name w:val="index 1"/>
    <w:basedOn w:val="Normal"/>
    <w:next w:val="Normal"/>
    <w:autoRedefine/>
    <w:uiPriority w:val="99"/>
    <w:unhideWhenUsed/>
    <w:rsid w:val="00981C32"/>
    <w:pPr>
      <w:ind w:left="180" w:hanging="180"/>
      <w:jc w:val="left"/>
    </w:pPr>
    <w:rPr>
      <w:rFonts w:asciiTheme="minorHAnsi" w:hAnsiTheme="minorHAnsi" w:cs="Times New Roman"/>
      <w:szCs w:val="18"/>
    </w:rPr>
  </w:style>
  <w:style w:type="paragraph" w:styleId="Index2">
    <w:name w:val="index 2"/>
    <w:basedOn w:val="Normal"/>
    <w:next w:val="Normal"/>
    <w:autoRedefine/>
    <w:uiPriority w:val="99"/>
    <w:unhideWhenUsed/>
    <w:rsid w:val="007D1F37"/>
    <w:pPr>
      <w:ind w:left="360" w:hanging="180"/>
      <w:jc w:val="left"/>
    </w:pPr>
    <w:rPr>
      <w:rFonts w:asciiTheme="minorHAnsi" w:hAnsiTheme="minorHAnsi" w:cs="Times New Roman"/>
      <w:szCs w:val="18"/>
    </w:rPr>
  </w:style>
  <w:style w:type="paragraph" w:styleId="Index3">
    <w:name w:val="index 3"/>
    <w:basedOn w:val="Normal"/>
    <w:next w:val="Normal"/>
    <w:autoRedefine/>
    <w:uiPriority w:val="99"/>
    <w:unhideWhenUsed/>
    <w:rsid w:val="007D1F37"/>
    <w:pPr>
      <w:ind w:left="540" w:hanging="180"/>
      <w:jc w:val="left"/>
    </w:pPr>
    <w:rPr>
      <w:rFonts w:asciiTheme="minorHAnsi" w:hAnsiTheme="minorHAnsi" w:cs="Times New Roman"/>
      <w:szCs w:val="18"/>
    </w:rPr>
  </w:style>
  <w:style w:type="paragraph" w:styleId="Index4">
    <w:name w:val="index 4"/>
    <w:basedOn w:val="Normal"/>
    <w:next w:val="Normal"/>
    <w:autoRedefine/>
    <w:uiPriority w:val="99"/>
    <w:unhideWhenUsed/>
    <w:rsid w:val="007D1F37"/>
    <w:pPr>
      <w:ind w:left="720" w:hanging="180"/>
      <w:jc w:val="left"/>
    </w:pPr>
    <w:rPr>
      <w:rFonts w:asciiTheme="minorHAnsi" w:hAnsiTheme="minorHAnsi" w:cs="Times New Roman"/>
      <w:szCs w:val="18"/>
    </w:rPr>
  </w:style>
  <w:style w:type="paragraph" w:styleId="Index5">
    <w:name w:val="index 5"/>
    <w:basedOn w:val="Normal"/>
    <w:next w:val="Normal"/>
    <w:autoRedefine/>
    <w:uiPriority w:val="99"/>
    <w:unhideWhenUsed/>
    <w:rsid w:val="007D1F37"/>
    <w:pPr>
      <w:ind w:left="900" w:hanging="180"/>
      <w:jc w:val="left"/>
    </w:pPr>
    <w:rPr>
      <w:rFonts w:asciiTheme="minorHAnsi" w:hAnsiTheme="minorHAnsi" w:cs="Times New Roman"/>
      <w:szCs w:val="18"/>
    </w:rPr>
  </w:style>
  <w:style w:type="paragraph" w:styleId="Index6">
    <w:name w:val="index 6"/>
    <w:basedOn w:val="Normal"/>
    <w:next w:val="Normal"/>
    <w:autoRedefine/>
    <w:uiPriority w:val="99"/>
    <w:unhideWhenUsed/>
    <w:rsid w:val="007D1F37"/>
    <w:pPr>
      <w:ind w:left="1080" w:hanging="180"/>
      <w:jc w:val="left"/>
    </w:pPr>
    <w:rPr>
      <w:rFonts w:asciiTheme="minorHAnsi" w:hAnsiTheme="minorHAnsi" w:cs="Times New Roman"/>
      <w:szCs w:val="18"/>
    </w:rPr>
  </w:style>
  <w:style w:type="paragraph" w:styleId="Index7">
    <w:name w:val="index 7"/>
    <w:basedOn w:val="Normal"/>
    <w:next w:val="Normal"/>
    <w:autoRedefine/>
    <w:uiPriority w:val="99"/>
    <w:unhideWhenUsed/>
    <w:rsid w:val="007D1F37"/>
    <w:pPr>
      <w:ind w:left="1260" w:hanging="180"/>
      <w:jc w:val="left"/>
    </w:pPr>
    <w:rPr>
      <w:rFonts w:asciiTheme="minorHAnsi" w:hAnsiTheme="minorHAnsi" w:cs="Times New Roman"/>
      <w:szCs w:val="18"/>
    </w:rPr>
  </w:style>
  <w:style w:type="paragraph" w:styleId="Index8">
    <w:name w:val="index 8"/>
    <w:basedOn w:val="Normal"/>
    <w:next w:val="Normal"/>
    <w:autoRedefine/>
    <w:uiPriority w:val="99"/>
    <w:unhideWhenUsed/>
    <w:rsid w:val="007D1F37"/>
    <w:pPr>
      <w:ind w:left="1440" w:hanging="180"/>
      <w:jc w:val="left"/>
    </w:pPr>
    <w:rPr>
      <w:rFonts w:asciiTheme="minorHAnsi" w:hAnsiTheme="minorHAnsi" w:cs="Times New Roman"/>
      <w:szCs w:val="18"/>
    </w:rPr>
  </w:style>
  <w:style w:type="paragraph" w:styleId="Index9">
    <w:name w:val="index 9"/>
    <w:basedOn w:val="Normal"/>
    <w:next w:val="Normal"/>
    <w:autoRedefine/>
    <w:uiPriority w:val="99"/>
    <w:unhideWhenUsed/>
    <w:rsid w:val="007D1F37"/>
    <w:pPr>
      <w:ind w:left="1620" w:hanging="180"/>
      <w:jc w:val="left"/>
    </w:pPr>
    <w:rPr>
      <w:rFonts w:asciiTheme="minorHAnsi" w:hAnsiTheme="minorHAnsi" w:cs="Times New Roman"/>
      <w:szCs w:val="18"/>
    </w:rPr>
  </w:style>
  <w:style w:type="paragraph" w:styleId="IndexHeading">
    <w:name w:val="index heading"/>
    <w:basedOn w:val="Normal"/>
    <w:next w:val="Index1"/>
    <w:uiPriority w:val="99"/>
    <w:unhideWhenUsed/>
    <w:rsid w:val="007D1F37"/>
    <w:pPr>
      <w:spacing w:before="240" w:after="120"/>
      <w:ind w:left="140"/>
      <w:jc w:val="left"/>
    </w:pPr>
    <w:rPr>
      <w:rFonts w:asciiTheme="majorHAnsi" w:hAnsiTheme="majorHAnsi" w:cs="Times New Roman"/>
      <w:b/>
      <w:bCs/>
      <w:sz w:val="28"/>
      <w:szCs w:val="28"/>
    </w:rPr>
  </w:style>
  <w:style w:type="paragraph" w:styleId="NoSpacing">
    <w:name w:val="No Spacing"/>
    <w:uiPriority w:val="1"/>
    <w:qFormat/>
    <w:rsid w:val="00B04CB7"/>
    <w:pPr>
      <w:spacing w:after="0" w:line="240" w:lineRule="auto"/>
      <w:jc w:val="both"/>
    </w:pPr>
    <w:rPr>
      <w:rFonts w:ascii="Arial" w:eastAsia="Times New Roman" w:hAnsi="Arial" w:cs="Arial"/>
      <w:color w:val="000000"/>
      <w:sz w:val="18"/>
      <w:szCs w:val="20"/>
    </w:rPr>
  </w:style>
  <w:style w:type="numbering" w:customStyle="1" w:styleId="14">
    <w:name w:val="ללא רשימה1"/>
    <w:next w:val="NoList"/>
    <w:semiHidden/>
    <w:rsid w:val="00672A56"/>
  </w:style>
  <w:style w:type="paragraph" w:customStyle="1" w:styleId="af0">
    <w:name w:val="סגנון"/>
    <w:basedOn w:val="Normal"/>
    <w:rsid w:val="00672A56"/>
    <w:pPr>
      <w:spacing w:after="160" w:line="240" w:lineRule="exact"/>
      <w:jc w:val="left"/>
    </w:pPr>
    <w:rPr>
      <w:rFonts w:ascii="Tahoma" w:hAnsi="Tahoma" w:cs="Times New Roman"/>
      <w:color w:val="auto"/>
      <w:sz w:val="20"/>
      <w:lang w:bidi="ar-SA"/>
    </w:rPr>
  </w:style>
  <w:style w:type="paragraph" w:customStyle="1" w:styleId="130">
    <w:name w:val="13"/>
    <w:rsid w:val="00672A56"/>
    <w:pPr>
      <w:widowControl w:val="0"/>
      <w:spacing w:after="0" w:line="240" w:lineRule="auto"/>
    </w:pPr>
    <w:rPr>
      <w:rFonts w:ascii="Times New Roman" w:eastAsia="Times New Roman" w:hAnsi="Times New Roman" w:cs="Miriam"/>
      <w:sz w:val="20"/>
      <w:szCs w:val="20"/>
    </w:rPr>
  </w:style>
  <w:style w:type="paragraph" w:customStyle="1" w:styleId="6">
    <w:name w:val="תו6"/>
    <w:basedOn w:val="Normal"/>
    <w:rsid w:val="00672A56"/>
    <w:pPr>
      <w:spacing w:after="160" w:line="240" w:lineRule="exact"/>
      <w:jc w:val="left"/>
    </w:pPr>
    <w:rPr>
      <w:rFonts w:ascii="Tahoma" w:hAnsi="Tahoma" w:cs="Times New Roman"/>
      <w:color w:val="auto"/>
      <w:sz w:val="20"/>
      <w:lang w:bidi="ar-SA"/>
    </w:rPr>
  </w:style>
  <w:style w:type="paragraph" w:customStyle="1" w:styleId="Char6">
    <w:name w:val="Char6"/>
    <w:basedOn w:val="Normal"/>
    <w:next w:val="Normal"/>
    <w:autoRedefine/>
    <w:rsid w:val="00672A56"/>
    <w:pPr>
      <w:spacing w:after="120" w:line="340" w:lineRule="exact"/>
      <w:jc w:val="left"/>
    </w:pPr>
    <w:rPr>
      <w:rFonts w:ascii="Tahoma" w:hAnsi="Tahoma"/>
      <w:b/>
      <w:bCs/>
      <w:color w:val="auto"/>
      <w:sz w:val="24"/>
      <w:szCs w:val="24"/>
    </w:rPr>
  </w:style>
  <w:style w:type="paragraph" w:customStyle="1" w:styleId="3CharChar6">
    <w:name w:val="תו תו3 Char Char6"/>
    <w:basedOn w:val="Normal"/>
    <w:rsid w:val="00672A56"/>
    <w:pPr>
      <w:spacing w:after="160" w:line="240" w:lineRule="exact"/>
      <w:jc w:val="left"/>
    </w:pPr>
    <w:rPr>
      <w:rFonts w:ascii="Tahoma" w:hAnsi="Tahoma" w:cs="Times New Roman"/>
      <w:color w:val="auto"/>
      <w:lang w:bidi="ar-SA"/>
    </w:rPr>
  </w:style>
  <w:style w:type="paragraph" w:customStyle="1" w:styleId="40">
    <w:name w:val="תו תו תו תו תו תו תו תו תו תו תו תו תו תו תו תו תו תו תו תו תו תו תו תו תו תו תו תו תו תו תו תו4"/>
    <w:basedOn w:val="Normal"/>
    <w:next w:val="Normal"/>
    <w:autoRedefine/>
    <w:rsid w:val="00672A56"/>
    <w:pPr>
      <w:spacing w:after="160" w:line="240" w:lineRule="exact"/>
      <w:jc w:val="right"/>
    </w:pPr>
    <w:rPr>
      <w:rFonts w:ascii="Tahoma" w:hAnsi="Tahoma"/>
      <w:color w:val="auto"/>
      <w:sz w:val="22"/>
      <w:szCs w:val="24"/>
      <w:lang w:bidi="ar-SA"/>
    </w:rPr>
  </w:style>
  <w:style w:type="numbering" w:customStyle="1" w:styleId="22">
    <w:name w:val="ללא רשימה2"/>
    <w:next w:val="NoList"/>
    <w:semiHidden/>
    <w:rsid w:val="00672A56"/>
  </w:style>
  <w:style w:type="paragraph" w:customStyle="1" w:styleId="120">
    <w:name w:val="12"/>
    <w:rsid w:val="00672A56"/>
    <w:pPr>
      <w:widowControl w:val="0"/>
      <w:spacing w:after="0" w:line="240" w:lineRule="auto"/>
    </w:pPr>
    <w:rPr>
      <w:rFonts w:ascii="Times New Roman" w:eastAsia="Times New Roman" w:hAnsi="Times New Roman" w:cs="Miriam"/>
      <w:sz w:val="20"/>
      <w:szCs w:val="20"/>
    </w:rPr>
  </w:style>
  <w:style w:type="table" w:customStyle="1" w:styleId="31">
    <w:name w:val="רשימה בטבלה 3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paragraph" w:customStyle="1" w:styleId="5">
    <w:name w:val="תו5"/>
    <w:basedOn w:val="Normal"/>
    <w:rsid w:val="00672A56"/>
    <w:pPr>
      <w:spacing w:after="160" w:line="240" w:lineRule="exact"/>
      <w:jc w:val="left"/>
    </w:pPr>
    <w:rPr>
      <w:rFonts w:ascii="Tahoma" w:hAnsi="Tahoma" w:cs="Times New Roman"/>
      <w:color w:val="auto"/>
      <w:sz w:val="20"/>
      <w:lang w:bidi="ar-SA"/>
    </w:rPr>
  </w:style>
  <w:style w:type="paragraph" w:customStyle="1" w:styleId="Char5">
    <w:name w:val="Char5"/>
    <w:basedOn w:val="Normal"/>
    <w:next w:val="Normal"/>
    <w:autoRedefine/>
    <w:rsid w:val="00672A56"/>
    <w:pPr>
      <w:spacing w:after="120" w:line="340" w:lineRule="exact"/>
      <w:jc w:val="left"/>
    </w:pPr>
    <w:rPr>
      <w:rFonts w:ascii="Tahoma" w:hAnsi="Tahoma"/>
      <w:b/>
      <w:bCs/>
      <w:color w:val="auto"/>
      <w:sz w:val="24"/>
      <w:szCs w:val="24"/>
    </w:rPr>
  </w:style>
  <w:style w:type="paragraph" w:customStyle="1" w:styleId="3CharChar5">
    <w:name w:val="תו תו3 Char Char5"/>
    <w:basedOn w:val="Normal"/>
    <w:rsid w:val="00672A56"/>
    <w:pPr>
      <w:spacing w:after="160" w:line="240" w:lineRule="exact"/>
      <w:jc w:val="left"/>
    </w:pPr>
    <w:rPr>
      <w:rFonts w:ascii="Tahoma" w:hAnsi="Tahoma" w:cs="Times New Roman"/>
      <w:color w:val="auto"/>
      <w:lang w:bidi="ar-SA"/>
    </w:rPr>
  </w:style>
  <w:style w:type="paragraph" w:customStyle="1" w:styleId="30">
    <w:name w:val="תו תו תו תו תו תו תו תו תו תו תו תו תו תו תו תו תו תו תו תו תו תו תו תו תו תו תו תו תו תו תו תו3"/>
    <w:basedOn w:val="Normal"/>
    <w:next w:val="Normal"/>
    <w:autoRedefine/>
    <w:rsid w:val="00672A56"/>
    <w:pPr>
      <w:spacing w:after="160" w:line="240" w:lineRule="exact"/>
      <w:jc w:val="right"/>
    </w:pPr>
    <w:rPr>
      <w:rFonts w:ascii="Tahoma" w:hAnsi="Tahoma"/>
      <w:color w:val="auto"/>
      <w:sz w:val="22"/>
      <w:szCs w:val="24"/>
      <w:lang w:bidi="ar-SA"/>
    </w:rPr>
  </w:style>
  <w:style w:type="numbering" w:customStyle="1" w:styleId="32">
    <w:name w:val="ללא רשימה3"/>
    <w:next w:val="NoList"/>
    <w:semiHidden/>
    <w:rsid w:val="00672A56"/>
  </w:style>
  <w:style w:type="paragraph" w:customStyle="1" w:styleId="110">
    <w:name w:val="11"/>
    <w:rsid w:val="00672A56"/>
    <w:pPr>
      <w:widowControl w:val="0"/>
      <w:spacing w:after="0" w:line="240" w:lineRule="auto"/>
    </w:pPr>
    <w:rPr>
      <w:rFonts w:ascii="Times New Roman" w:eastAsia="Times New Roman" w:hAnsi="Times New Roman" w:cs="Miriam"/>
      <w:sz w:val="20"/>
      <w:szCs w:val="20"/>
    </w:rPr>
  </w:style>
  <w:style w:type="table" w:customStyle="1" w:styleId="320">
    <w:name w:val="רשימה בטבלה 32"/>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paragraph" w:customStyle="1" w:styleId="41">
    <w:name w:val="תו4"/>
    <w:basedOn w:val="Normal"/>
    <w:rsid w:val="00672A56"/>
    <w:pPr>
      <w:spacing w:after="160" w:line="240" w:lineRule="exact"/>
      <w:jc w:val="left"/>
    </w:pPr>
    <w:rPr>
      <w:rFonts w:ascii="Tahoma" w:hAnsi="Tahoma" w:cs="Times New Roman"/>
      <w:color w:val="auto"/>
      <w:sz w:val="20"/>
      <w:lang w:bidi="ar-SA"/>
    </w:rPr>
  </w:style>
  <w:style w:type="paragraph" w:customStyle="1" w:styleId="Char4">
    <w:name w:val="Char4"/>
    <w:basedOn w:val="Normal"/>
    <w:next w:val="Normal"/>
    <w:autoRedefine/>
    <w:rsid w:val="00672A56"/>
    <w:pPr>
      <w:spacing w:after="120" w:line="340" w:lineRule="exact"/>
      <w:jc w:val="left"/>
    </w:pPr>
    <w:rPr>
      <w:rFonts w:ascii="Tahoma" w:hAnsi="Tahoma"/>
      <w:b/>
      <w:bCs/>
      <w:color w:val="auto"/>
      <w:sz w:val="24"/>
      <w:szCs w:val="24"/>
    </w:rPr>
  </w:style>
  <w:style w:type="paragraph" w:customStyle="1" w:styleId="3CharChar4">
    <w:name w:val="תו תו3 Char Char4"/>
    <w:basedOn w:val="Normal"/>
    <w:rsid w:val="00672A56"/>
    <w:pPr>
      <w:spacing w:after="160" w:line="240" w:lineRule="exact"/>
      <w:jc w:val="left"/>
    </w:pPr>
    <w:rPr>
      <w:rFonts w:ascii="Tahoma" w:hAnsi="Tahoma" w:cs="Times New Roman"/>
      <w:color w:val="auto"/>
      <w:lang w:bidi="ar-SA"/>
    </w:rPr>
  </w:style>
  <w:style w:type="paragraph" w:customStyle="1" w:styleId="23">
    <w:name w:val="תו תו תו תו תו תו תו תו תו תו תו תו תו תו תו תו תו תו תו תו תו תו תו תו תו תו תו תו תו תו תו תו2"/>
    <w:basedOn w:val="Normal"/>
    <w:next w:val="Normal"/>
    <w:autoRedefine/>
    <w:rsid w:val="00672A56"/>
    <w:pPr>
      <w:spacing w:after="160" w:line="240" w:lineRule="exact"/>
      <w:jc w:val="right"/>
    </w:pPr>
    <w:rPr>
      <w:rFonts w:ascii="Tahoma" w:hAnsi="Tahoma"/>
      <w:color w:val="auto"/>
      <w:sz w:val="22"/>
      <w:szCs w:val="24"/>
      <w:lang w:bidi="ar-SA"/>
    </w:rPr>
  </w:style>
  <w:style w:type="paragraph" w:styleId="Subtitle">
    <w:name w:val="Subtitle"/>
    <w:basedOn w:val="Normal"/>
    <w:next w:val="Normal"/>
    <w:link w:val="SubtitleChar"/>
    <w:uiPriority w:val="99"/>
    <w:qFormat/>
    <w:rsid w:val="00672A56"/>
    <w:pPr>
      <w:numPr>
        <w:ilvl w:val="1"/>
      </w:numPr>
      <w:spacing w:after="160" w:line="264" w:lineRule="auto"/>
      <w:ind w:left="-108"/>
      <w:jc w:val="left"/>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99"/>
    <w:rsid w:val="00672A56"/>
    <w:rPr>
      <w:rFonts w:eastAsiaTheme="minorEastAsia"/>
      <w:color w:val="5A5A5A" w:themeColor="text1" w:themeTint="A5"/>
      <w:spacing w:val="15"/>
    </w:rPr>
  </w:style>
  <w:style w:type="numbering" w:customStyle="1" w:styleId="42">
    <w:name w:val="ללא רשימה4"/>
    <w:next w:val="NoList"/>
    <w:uiPriority w:val="99"/>
    <w:semiHidden/>
    <w:unhideWhenUsed/>
    <w:rsid w:val="00672A56"/>
  </w:style>
  <w:style w:type="character" w:customStyle="1" w:styleId="210">
    <w:name w:val="כותרת 2 תו1"/>
    <w:aliases w:val="כותרת 2 תו תו,s תו,Heading 2 תו1"/>
    <w:basedOn w:val="DefaultParagraphFont"/>
    <w:rsid w:val="00672A56"/>
    <w:rPr>
      <w:rFonts w:ascii="Arial" w:eastAsia="Times New Roman" w:hAnsi="Arial" w:cs="Arial"/>
      <w:bCs/>
      <w:color w:val="FF6600"/>
    </w:rPr>
  </w:style>
  <w:style w:type="table" w:customStyle="1" w:styleId="15">
    <w:name w:val="רשת טבלה1"/>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רשימה בטבלה 33"/>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3CharChar1">
    <w:name w:val="תו תו3 Char Char1"/>
    <w:basedOn w:val="Normal"/>
    <w:uiPriority w:val="99"/>
    <w:rsid w:val="00672A56"/>
    <w:pPr>
      <w:spacing w:after="160" w:line="240" w:lineRule="exact"/>
      <w:jc w:val="left"/>
    </w:pPr>
    <w:rPr>
      <w:rFonts w:ascii="Tahoma" w:hAnsi="Tahoma" w:cs="Times New Roman"/>
      <w:color w:val="auto"/>
      <w:lang w:bidi="ar-SA"/>
    </w:rPr>
  </w:style>
  <w:style w:type="paragraph" w:customStyle="1" w:styleId="Char1">
    <w:name w:val="Char1"/>
    <w:basedOn w:val="Normal"/>
    <w:next w:val="Normal"/>
    <w:autoRedefine/>
    <w:uiPriority w:val="99"/>
    <w:rsid w:val="00672A56"/>
    <w:pPr>
      <w:spacing w:after="160" w:line="240" w:lineRule="exact"/>
      <w:jc w:val="right"/>
    </w:pPr>
    <w:rPr>
      <w:rFonts w:ascii="Tahoma" w:hAnsi="Tahoma"/>
      <w:color w:val="auto"/>
      <w:sz w:val="22"/>
      <w:szCs w:val="24"/>
      <w:lang w:bidi="ar-SA"/>
    </w:rPr>
  </w:style>
  <w:style w:type="paragraph" w:customStyle="1" w:styleId="24">
    <w:name w:val="2"/>
    <w:basedOn w:val="Normal"/>
    <w:next w:val="BodyTextIndent3"/>
    <w:uiPriority w:val="99"/>
    <w:rsid w:val="00672A56"/>
    <w:pPr>
      <w:tabs>
        <w:tab w:val="left" w:pos="2940"/>
      </w:tabs>
      <w:spacing w:line="340" w:lineRule="exact"/>
      <w:ind w:left="1582" w:hanging="431"/>
    </w:pPr>
    <w:rPr>
      <w:rFonts w:ascii="Times New Roman" w:hAnsi="Times New Roman" w:cs="OronMF"/>
      <w:sz w:val="20"/>
      <w:lang w:eastAsia="he-IL"/>
    </w:rPr>
  </w:style>
  <w:style w:type="character" w:customStyle="1" w:styleId="34">
    <w:name w:val="מא3 תו"/>
    <w:link w:val="35"/>
    <w:rsid w:val="00672A56"/>
    <w:rPr>
      <w:rFonts w:cs="Miriam"/>
      <w:lang w:eastAsia="he-IL"/>
    </w:rPr>
  </w:style>
  <w:style w:type="paragraph" w:customStyle="1" w:styleId="35">
    <w:name w:val="מא3"/>
    <w:basedOn w:val="Normal"/>
    <w:link w:val="34"/>
    <w:rsid w:val="00672A56"/>
    <w:pPr>
      <w:tabs>
        <w:tab w:val="left" w:pos="1701"/>
        <w:tab w:val="left" w:pos="2268"/>
      </w:tabs>
      <w:ind w:left="2268" w:hanging="567"/>
    </w:pPr>
    <w:rPr>
      <w:rFonts w:asciiTheme="minorHAnsi" w:eastAsiaTheme="minorHAnsi" w:hAnsiTheme="minorHAnsi" w:cs="Miriam"/>
      <w:color w:val="auto"/>
      <w:sz w:val="22"/>
      <w:szCs w:val="22"/>
      <w:lang w:eastAsia="he-IL"/>
    </w:rPr>
  </w:style>
  <w:style w:type="character" w:customStyle="1" w:styleId="ArialJoker17">
    <w:name w:val="סגנון (לטיני) Arial (מורכב) Joker ‏17 נק מודגש"/>
    <w:rsid w:val="00672A56"/>
    <w:rPr>
      <w:rFonts w:ascii="Arial" w:hAnsi="Arial" w:cs="Joker"/>
      <w:b/>
      <w:bCs/>
      <w:sz w:val="34"/>
      <w:szCs w:val="34"/>
    </w:rPr>
  </w:style>
  <w:style w:type="paragraph" w:customStyle="1" w:styleId="100">
    <w:name w:val="10"/>
    <w:basedOn w:val="Normal"/>
    <w:next w:val="BodyTextIndent3"/>
    <w:uiPriority w:val="99"/>
    <w:rsid w:val="00672A56"/>
    <w:pPr>
      <w:tabs>
        <w:tab w:val="left" w:pos="2940"/>
      </w:tabs>
      <w:spacing w:line="340" w:lineRule="exact"/>
      <w:ind w:left="1582" w:hanging="431"/>
    </w:pPr>
    <w:rPr>
      <w:rFonts w:ascii="Times New Roman" w:hAnsi="Times New Roman" w:cs="OronMF"/>
      <w:sz w:val="20"/>
      <w:lang w:eastAsia="he-IL"/>
    </w:rPr>
  </w:style>
  <w:style w:type="paragraph" w:customStyle="1" w:styleId="9">
    <w:name w:val="9"/>
    <w:basedOn w:val="Normal"/>
    <w:next w:val="BlockText"/>
    <w:uiPriority w:val="99"/>
    <w:rsid w:val="00672A56"/>
    <w:pPr>
      <w:tabs>
        <w:tab w:val="left" w:pos="3520"/>
        <w:tab w:val="left" w:pos="5660"/>
        <w:tab w:val="left" w:pos="6580"/>
        <w:tab w:val="left" w:pos="7480"/>
        <w:tab w:val="left" w:pos="8540"/>
        <w:tab w:val="left" w:pos="9440"/>
      </w:tabs>
      <w:spacing w:line="260" w:lineRule="exact"/>
      <w:ind w:left="520" w:right="320" w:hanging="320"/>
    </w:pPr>
    <w:rPr>
      <w:rFonts w:ascii="Times New Roman" w:hAnsi="Times New Roman" w:cs="David"/>
      <w:snapToGrid w:val="0"/>
      <w:color w:val="auto"/>
      <w:sz w:val="24"/>
      <w:szCs w:val="18"/>
      <w:lang w:eastAsia="he-IL"/>
    </w:rPr>
  </w:style>
  <w:style w:type="paragraph" w:customStyle="1" w:styleId="8">
    <w:name w:val="8"/>
    <w:basedOn w:val="Normal"/>
    <w:next w:val="BodyTextIndent3"/>
    <w:uiPriority w:val="99"/>
    <w:rsid w:val="00672A56"/>
    <w:pPr>
      <w:tabs>
        <w:tab w:val="left" w:pos="2940"/>
      </w:tabs>
      <w:spacing w:line="340" w:lineRule="exact"/>
      <w:ind w:left="1582" w:hanging="431"/>
    </w:pPr>
    <w:rPr>
      <w:rFonts w:ascii="Times New Roman" w:hAnsi="Times New Roman" w:cs="OronMF"/>
      <w:sz w:val="20"/>
      <w:lang w:eastAsia="he-IL"/>
    </w:rPr>
  </w:style>
  <w:style w:type="paragraph" w:customStyle="1" w:styleId="7">
    <w:name w:val="7"/>
    <w:basedOn w:val="Normal"/>
    <w:next w:val="BodyTextIndent3"/>
    <w:uiPriority w:val="99"/>
    <w:rsid w:val="00672A56"/>
    <w:pPr>
      <w:tabs>
        <w:tab w:val="left" w:pos="2940"/>
      </w:tabs>
      <w:spacing w:line="340" w:lineRule="exact"/>
      <w:ind w:left="1582" w:hanging="431"/>
    </w:pPr>
    <w:rPr>
      <w:rFonts w:ascii="Times New Roman" w:hAnsi="Times New Roman" w:cs="OronMF"/>
      <w:sz w:val="20"/>
      <w:lang w:eastAsia="he-IL"/>
    </w:rPr>
  </w:style>
  <w:style w:type="paragraph" w:customStyle="1" w:styleId="60">
    <w:name w:val="6"/>
    <w:basedOn w:val="Normal"/>
    <w:next w:val="BlockText"/>
    <w:uiPriority w:val="99"/>
    <w:rsid w:val="00672A56"/>
    <w:pPr>
      <w:tabs>
        <w:tab w:val="left" w:pos="2940"/>
        <w:tab w:val="left" w:pos="8760"/>
      </w:tabs>
      <w:spacing w:line="280" w:lineRule="exact"/>
      <w:ind w:left="2260" w:right="520"/>
    </w:pPr>
    <w:rPr>
      <w:rFonts w:ascii="Times New Roman" w:hAnsi="Times New Roman" w:cs="David"/>
      <w:snapToGrid w:val="0"/>
      <w:color w:val="auto"/>
      <w:sz w:val="24"/>
      <w:lang w:eastAsia="he-IL"/>
    </w:rPr>
  </w:style>
  <w:style w:type="paragraph" w:customStyle="1" w:styleId="50">
    <w:name w:val="5"/>
    <w:basedOn w:val="Normal"/>
    <w:next w:val="BlockText"/>
    <w:uiPriority w:val="99"/>
    <w:rsid w:val="00672A56"/>
    <w:pPr>
      <w:tabs>
        <w:tab w:val="left" w:pos="2940"/>
        <w:tab w:val="left" w:pos="8760"/>
      </w:tabs>
      <w:spacing w:line="280" w:lineRule="exact"/>
      <w:ind w:left="2260" w:right="520"/>
    </w:pPr>
    <w:rPr>
      <w:rFonts w:ascii="Times New Roman" w:hAnsi="Times New Roman" w:cs="David"/>
      <w:snapToGrid w:val="0"/>
      <w:color w:val="auto"/>
      <w:sz w:val="24"/>
      <w:lang w:eastAsia="he-IL"/>
    </w:rPr>
  </w:style>
  <w:style w:type="paragraph" w:customStyle="1" w:styleId="43">
    <w:name w:val="4"/>
    <w:basedOn w:val="Normal"/>
    <w:next w:val="BlockText"/>
    <w:uiPriority w:val="99"/>
    <w:rsid w:val="00672A56"/>
    <w:pPr>
      <w:tabs>
        <w:tab w:val="left" w:pos="2940"/>
        <w:tab w:val="left" w:pos="8760"/>
      </w:tabs>
      <w:spacing w:line="280" w:lineRule="exact"/>
      <w:ind w:left="2260" w:right="520"/>
    </w:pPr>
    <w:rPr>
      <w:rFonts w:ascii="Times New Roman" w:hAnsi="Times New Roman" w:cs="David"/>
      <w:snapToGrid w:val="0"/>
      <w:color w:val="auto"/>
      <w:sz w:val="24"/>
      <w:lang w:eastAsia="he-IL"/>
    </w:rPr>
  </w:style>
  <w:style w:type="character" w:customStyle="1" w:styleId="FootnoteTextChar1">
    <w:name w:val="Footnote Text Char1"/>
    <w:semiHidden/>
    <w:locked/>
    <w:rsid w:val="00672A56"/>
    <w:rPr>
      <w:rFonts w:cs="David"/>
      <w:noProof/>
      <w:lang w:val="en-US" w:eastAsia="he-IL" w:bidi="he-IL"/>
    </w:rPr>
  </w:style>
  <w:style w:type="paragraph" w:customStyle="1" w:styleId="36">
    <w:name w:val="3"/>
    <w:basedOn w:val="Normal"/>
    <w:next w:val="Footer"/>
    <w:uiPriority w:val="99"/>
    <w:rsid w:val="00672A56"/>
    <w:pPr>
      <w:widowControl w:val="0"/>
      <w:tabs>
        <w:tab w:val="center" w:pos="4153"/>
        <w:tab w:val="right" w:pos="8306"/>
      </w:tabs>
      <w:jc w:val="left"/>
    </w:pPr>
    <w:rPr>
      <w:rFonts w:ascii="Times New Roman" w:hAnsi="Times New Roman" w:cs="David"/>
      <w:snapToGrid w:val="0"/>
      <w:color w:val="auto"/>
      <w:sz w:val="20"/>
      <w:lang w:eastAsia="he-IL"/>
    </w:rPr>
  </w:style>
  <w:style w:type="paragraph" w:customStyle="1" w:styleId="Default">
    <w:name w:val="Default"/>
    <w:uiPriority w:val="99"/>
    <w:rsid w:val="00672A56"/>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af1">
    <w:name w:val="(א)"/>
    <w:basedOn w:val="Normal"/>
    <w:autoRedefine/>
    <w:uiPriority w:val="99"/>
    <w:rsid w:val="00672A56"/>
    <w:pPr>
      <w:tabs>
        <w:tab w:val="left" w:pos="7440"/>
        <w:tab w:val="left" w:pos="8720"/>
      </w:tabs>
      <w:spacing w:line="340" w:lineRule="exact"/>
      <w:ind w:left="520" w:right="2920" w:hanging="360"/>
    </w:pPr>
    <w:rPr>
      <w:snapToGrid w:val="0"/>
      <w:color w:val="auto"/>
      <w:sz w:val="24"/>
      <w:lang w:eastAsia="he-IL"/>
    </w:rPr>
  </w:style>
  <w:style w:type="paragraph" w:customStyle="1" w:styleId="af2">
    <w:name w:val="ראשי"/>
    <w:basedOn w:val="Heading7"/>
    <w:autoRedefine/>
    <w:uiPriority w:val="99"/>
    <w:rsid w:val="00672A56"/>
    <w:pPr>
      <w:tabs>
        <w:tab w:val="left" w:pos="7440"/>
        <w:tab w:val="left" w:pos="8720"/>
      </w:tabs>
      <w:spacing w:line="300" w:lineRule="exact"/>
      <w:ind w:left="1531" w:right="1531" w:hanging="397"/>
    </w:pPr>
    <w:rPr>
      <w:rFonts w:cs="OronMF"/>
      <w:b/>
      <w:bCs/>
      <w:color w:val="auto"/>
      <w:sz w:val="24"/>
      <w:szCs w:val="20"/>
    </w:rPr>
  </w:style>
  <w:style w:type="paragraph" w:customStyle="1" w:styleId="CharChar1CharCharCharCharCharCharCharChar1CharCharCharCharCharCharCharCharCharCharCharCharCharChar">
    <w:name w:val="Char Char1 תו תו Char Char תו תו Char Char תו תו Char Char תו תו Char Char תו תו1 Char Char תו תו Char Char תו תו Char Char תו תו Char Char תו תו Char Char תו תו Char Char תו תו Char Char"/>
    <w:basedOn w:val="Normal"/>
    <w:uiPriority w:val="99"/>
    <w:rsid w:val="00672A56"/>
    <w:pPr>
      <w:spacing w:after="160" w:line="240" w:lineRule="exact"/>
      <w:jc w:val="left"/>
    </w:pPr>
    <w:rPr>
      <w:rFonts w:ascii="Verdana" w:hAnsi="Verdana"/>
      <w:color w:val="auto"/>
      <w:lang w:bidi="ar-SA"/>
    </w:rPr>
  </w:style>
  <w:style w:type="paragraph" w:customStyle="1" w:styleId="-2">
    <w:name w:val="דוח-מלל ביאור"/>
    <w:basedOn w:val="Normal"/>
    <w:link w:val="-3"/>
    <w:rsid w:val="00672A56"/>
    <w:pPr>
      <w:spacing w:before="60" w:after="60" w:line="264" w:lineRule="auto"/>
    </w:pPr>
    <w:rPr>
      <w:color w:val="auto"/>
    </w:rPr>
  </w:style>
  <w:style w:type="character" w:customStyle="1" w:styleId="-3">
    <w:name w:val="דוח-מלל ביאור תו"/>
    <w:link w:val="-2"/>
    <w:rsid w:val="00672A56"/>
    <w:rPr>
      <w:rFonts w:ascii="Arial" w:eastAsia="Times New Roman" w:hAnsi="Arial" w:cs="Arial"/>
      <w:sz w:val="18"/>
      <w:szCs w:val="20"/>
    </w:rPr>
  </w:style>
  <w:style w:type="paragraph" w:customStyle="1" w:styleId="-4">
    <w:name w:val="דוח-כותרת מלל ביאור"/>
    <w:basedOn w:val="-2"/>
    <w:link w:val="-5"/>
    <w:rsid w:val="00672A56"/>
    <w:rPr>
      <w:b/>
      <w:bCs/>
    </w:rPr>
  </w:style>
  <w:style w:type="character" w:customStyle="1" w:styleId="-5">
    <w:name w:val="דוח-כותרת מלל ביאור תו"/>
    <w:link w:val="-4"/>
    <w:rsid w:val="00672A56"/>
    <w:rPr>
      <w:rFonts w:ascii="Arial" w:eastAsia="Times New Roman" w:hAnsi="Arial" w:cs="Arial"/>
      <w:b/>
      <w:bCs/>
      <w:sz w:val="18"/>
      <w:szCs w:val="20"/>
    </w:rPr>
  </w:style>
  <w:style w:type="paragraph" w:customStyle="1" w:styleId="-6">
    <w:name w:val="דוח-תאגיד בנקאי"/>
    <w:basedOn w:val="Normal"/>
    <w:uiPriority w:val="99"/>
    <w:rsid w:val="00672A56"/>
    <w:rPr>
      <w:b/>
      <w:bCs/>
      <w:color w:val="auto"/>
      <w:sz w:val="22"/>
      <w:szCs w:val="22"/>
    </w:rPr>
  </w:style>
  <w:style w:type="paragraph" w:customStyle="1" w:styleId="-7">
    <w:name w:val="דוח-כותרת דוח"/>
    <w:basedOn w:val="Normal"/>
    <w:uiPriority w:val="99"/>
    <w:rsid w:val="00672A56"/>
    <w:pPr>
      <w:pBdr>
        <w:bottom w:val="single" w:sz="12" w:space="1" w:color="auto"/>
      </w:pBdr>
      <w:spacing w:after="120"/>
    </w:pPr>
    <w:rPr>
      <w:b/>
      <w:bCs/>
      <w:color w:val="auto"/>
      <w:sz w:val="22"/>
      <w:szCs w:val="22"/>
    </w:rPr>
  </w:style>
  <w:style w:type="paragraph" w:customStyle="1" w:styleId="-8">
    <w:name w:val="דוח-סכומים מדווחים"/>
    <w:basedOn w:val="Normal"/>
    <w:uiPriority w:val="99"/>
    <w:rsid w:val="00672A56"/>
    <w:pPr>
      <w:spacing w:after="240"/>
    </w:pPr>
    <w:rPr>
      <w:color w:val="auto"/>
    </w:rPr>
  </w:style>
  <w:style w:type="paragraph" w:customStyle="1" w:styleId="-9">
    <w:name w:val="דוח-ביאור #"/>
    <w:basedOn w:val="Normal"/>
    <w:uiPriority w:val="99"/>
    <w:rsid w:val="00672A56"/>
    <w:pPr>
      <w:spacing w:after="120"/>
    </w:pPr>
    <w:rPr>
      <w:b/>
      <w:bCs/>
      <w:color w:val="auto"/>
      <w:sz w:val="22"/>
      <w:szCs w:val="22"/>
    </w:rPr>
  </w:style>
  <w:style w:type="paragraph" w:customStyle="1" w:styleId="-a">
    <w:name w:val="דוח-כותרת מספר"/>
    <w:basedOn w:val="-4"/>
    <w:uiPriority w:val="99"/>
    <w:rsid w:val="00672A56"/>
    <w:pPr>
      <w:tabs>
        <w:tab w:val="num" w:pos="360"/>
        <w:tab w:val="num" w:pos="1474"/>
      </w:tabs>
      <w:ind w:right="-144"/>
      <w:jc w:val="left"/>
    </w:pPr>
  </w:style>
  <w:style w:type="paragraph" w:customStyle="1" w:styleId="af3">
    <w:name w:val="כותרת סצינה"/>
    <w:basedOn w:val="BodyText2"/>
    <w:next w:val="Normal"/>
    <w:uiPriority w:val="99"/>
    <w:rsid w:val="00672A56"/>
    <w:pPr>
      <w:tabs>
        <w:tab w:val="left" w:pos="720"/>
        <w:tab w:val="left" w:pos="9749"/>
      </w:tabs>
      <w:spacing w:line="240" w:lineRule="auto"/>
      <w:ind w:left="927" w:hanging="360"/>
    </w:pPr>
    <w:rPr>
      <w:rFonts w:ascii="Courier New" w:hAnsi="Courier New" w:cs="Courier New"/>
      <w:color w:val="auto"/>
      <w:sz w:val="28"/>
      <w:szCs w:val="28"/>
      <w:lang w:eastAsia="en-US"/>
    </w:rPr>
  </w:style>
  <w:style w:type="paragraph" w:customStyle="1" w:styleId="-b">
    <w:name w:val="דוח-סעיף"/>
    <w:basedOn w:val="Normal"/>
    <w:link w:val="-c"/>
    <w:rsid w:val="00672A56"/>
    <w:pPr>
      <w:spacing w:line="241" w:lineRule="auto"/>
      <w:ind w:left="144" w:hanging="144"/>
      <w:jc w:val="left"/>
    </w:pPr>
    <w:rPr>
      <w:lang w:eastAsia="he-IL"/>
    </w:rPr>
  </w:style>
  <w:style w:type="character" w:customStyle="1" w:styleId="-c">
    <w:name w:val="דוח-סעיף תו"/>
    <w:link w:val="-b"/>
    <w:rsid w:val="00672A56"/>
    <w:rPr>
      <w:rFonts w:ascii="Arial" w:eastAsia="Times New Roman" w:hAnsi="Arial" w:cs="Arial"/>
      <w:color w:val="000000"/>
      <w:sz w:val="18"/>
      <w:szCs w:val="20"/>
      <w:lang w:eastAsia="he-IL"/>
    </w:rPr>
  </w:style>
  <w:style w:type="paragraph" w:customStyle="1" w:styleId="-d">
    <w:name w:val="דוח-סעיף סך הכל"/>
    <w:basedOn w:val="-b"/>
    <w:link w:val="-e"/>
    <w:rsid w:val="00672A56"/>
    <w:rPr>
      <w:b/>
      <w:bCs/>
    </w:rPr>
  </w:style>
  <w:style w:type="character" w:customStyle="1" w:styleId="-e">
    <w:name w:val="דוח-סעיף סך הכל תו"/>
    <w:link w:val="-d"/>
    <w:rsid w:val="00672A56"/>
    <w:rPr>
      <w:rFonts w:ascii="Arial" w:eastAsia="Times New Roman" w:hAnsi="Arial" w:cs="Arial"/>
      <w:b/>
      <w:bCs/>
      <w:color w:val="000000"/>
      <w:sz w:val="18"/>
      <w:szCs w:val="20"/>
      <w:lang w:eastAsia="he-IL"/>
    </w:rPr>
  </w:style>
  <w:style w:type="paragraph" w:customStyle="1" w:styleId="-10">
    <w:name w:val="דוח-ביאור 1"/>
    <w:basedOn w:val="-2"/>
    <w:link w:val="-12"/>
    <w:rsid w:val="00672A56"/>
    <w:pPr>
      <w:spacing w:before="0"/>
      <w:jc w:val="left"/>
    </w:pPr>
    <w:rPr>
      <w:b/>
      <w:bCs/>
    </w:rPr>
  </w:style>
  <w:style w:type="character" w:customStyle="1" w:styleId="-12">
    <w:name w:val="דוח-ביאור 1 תו"/>
    <w:link w:val="-10"/>
    <w:rsid w:val="00672A56"/>
    <w:rPr>
      <w:rFonts w:ascii="Arial" w:eastAsia="Times New Roman" w:hAnsi="Arial" w:cs="Arial"/>
      <w:b/>
      <w:bCs/>
      <w:sz w:val="18"/>
      <w:szCs w:val="20"/>
    </w:rPr>
  </w:style>
  <w:style w:type="paragraph" w:customStyle="1" w:styleId="-f">
    <w:name w:val="דוח-סעיף כותרת"/>
    <w:basedOn w:val="-b"/>
    <w:link w:val="-f0"/>
    <w:rsid w:val="00672A56"/>
    <w:rPr>
      <w:b/>
      <w:bCs/>
      <w:u w:val="single"/>
    </w:rPr>
  </w:style>
  <w:style w:type="character" w:customStyle="1" w:styleId="-f0">
    <w:name w:val="דוח-סעיף כותרת תו"/>
    <w:link w:val="-f"/>
    <w:rsid w:val="00672A56"/>
    <w:rPr>
      <w:rFonts w:ascii="Arial" w:eastAsia="Times New Roman" w:hAnsi="Arial" w:cs="Arial"/>
      <w:b/>
      <w:bCs/>
      <w:color w:val="000000"/>
      <w:sz w:val="18"/>
      <w:szCs w:val="20"/>
      <w:u w:val="single"/>
      <w:lang w:eastAsia="he-IL"/>
    </w:rPr>
  </w:style>
  <w:style w:type="paragraph" w:customStyle="1" w:styleId="-f1">
    <w:name w:val="דוח-מספר סך הכל"/>
    <w:basedOn w:val="-d"/>
    <w:link w:val="-f2"/>
    <w:rsid w:val="00672A56"/>
    <w:pPr>
      <w:pBdr>
        <w:top w:val="single" w:sz="4" w:space="1" w:color="auto"/>
      </w:pBdr>
    </w:pPr>
  </w:style>
  <w:style w:type="character" w:customStyle="1" w:styleId="-f2">
    <w:name w:val="דוח-מספר סך הכל תו"/>
    <w:basedOn w:val="-e"/>
    <w:link w:val="-f1"/>
    <w:rsid w:val="00672A56"/>
    <w:rPr>
      <w:rFonts w:ascii="Arial" w:eastAsia="Times New Roman" w:hAnsi="Arial" w:cs="Arial"/>
      <w:b/>
      <w:bCs/>
      <w:color w:val="000000"/>
      <w:sz w:val="18"/>
      <w:szCs w:val="20"/>
      <w:lang w:eastAsia="he-IL"/>
    </w:rPr>
  </w:style>
  <w:style w:type="paragraph" w:customStyle="1" w:styleId="-13">
    <w:name w:val="דוח-ביאור 1 כותרת משנה"/>
    <w:basedOn w:val="-10"/>
    <w:link w:val="-14"/>
    <w:rsid w:val="00672A56"/>
    <w:pPr>
      <w:spacing w:before="60"/>
      <w:jc w:val="both"/>
    </w:pPr>
  </w:style>
  <w:style w:type="character" w:customStyle="1" w:styleId="-14">
    <w:name w:val="דוח-ביאור 1 כותרת משנה תו"/>
    <w:basedOn w:val="-12"/>
    <w:link w:val="-13"/>
    <w:rsid w:val="00672A56"/>
    <w:rPr>
      <w:rFonts w:ascii="Arial" w:eastAsia="Times New Roman" w:hAnsi="Arial" w:cs="Arial"/>
      <w:b/>
      <w:bCs/>
      <w:sz w:val="18"/>
      <w:szCs w:val="20"/>
    </w:rPr>
  </w:style>
  <w:style w:type="paragraph" w:customStyle="1" w:styleId="nispah">
    <w:name w:val="nispah"/>
    <w:basedOn w:val="Normal"/>
    <w:uiPriority w:val="99"/>
    <w:rsid w:val="00672A56"/>
    <w:pPr>
      <w:tabs>
        <w:tab w:val="num" w:pos="2535"/>
      </w:tabs>
      <w:spacing w:line="360" w:lineRule="auto"/>
      <w:ind w:left="2535" w:right="360" w:hanging="340"/>
      <w:jc w:val="right"/>
    </w:pPr>
    <w:rPr>
      <w:rFonts w:cs="Miriam"/>
      <w:noProof/>
      <w:sz w:val="24"/>
      <w:lang w:eastAsia="he-IL"/>
    </w:rPr>
  </w:style>
  <w:style w:type="paragraph" w:customStyle="1" w:styleId="af4">
    <w:name w:val="לעדכן"/>
    <w:basedOn w:val="Normal"/>
    <w:link w:val="af5"/>
    <w:rsid w:val="00672A56"/>
    <w:pPr>
      <w:spacing w:after="160" w:line="264" w:lineRule="auto"/>
      <w:jc w:val="left"/>
    </w:pPr>
    <w:rPr>
      <w:rFonts w:asciiTheme="minorHAnsi" w:eastAsiaTheme="minorHAnsi" w:hAnsiTheme="minorHAnsi" w:cstheme="minorBidi"/>
      <w:color w:val="FF0000"/>
      <w:sz w:val="22"/>
      <w:szCs w:val="22"/>
    </w:rPr>
  </w:style>
  <w:style w:type="character" w:customStyle="1" w:styleId="af5">
    <w:name w:val="לעדכן תו"/>
    <w:basedOn w:val="DefaultParagraphFont"/>
    <w:link w:val="af4"/>
    <w:rsid w:val="00672A56"/>
    <w:rPr>
      <w:color w:val="FF0000"/>
    </w:rPr>
  </w:style>
  <w:style w:type="paragraph" w:customStyle="1" w:styleId="af6">
    <w:name w:val="בנק"/>
    <w:basedOn w:val="Normal"/>
    <w:link w:val="af7"/>
    <w:rsid w:val="00672A56"/>
    <w:pPr>
      <w:spacing w:before="120" w:after="120" w:line="264" w:lineRule="auto"/>
      <w:jc w:val="left"/>
    </w:pPr>
    <w:rPr>
      <w:b/>
      <w:bCs/>
      <w:color w:val="FF6600"/>
      <w:sz w:val="24"/>
      <w:szCs w:val="24"/>
    </w:rPr>
  </w:style>
  <w:style w:type="paragraph" w:customStyle="1" w:styleId="af8">
    <w:name w:val="בנק אותיות"/>
    <w:basedOn w:val="Normal"/>
    <w:rsid w:val="00672A56"/>
    <w:pPr>
      <w:spacing w:before="240" w:after="240"/>
      <w:jc w:val="left"/>
    </w:pPr>
    <w:rPr>
      <w:rFonts w:asciiTheme="minorBidi" w:eastAsiaTheme="minorHAnsi" w:hAnsiTheme="minorBidi" w:cstheme="minorBidi"/>
      <w:b/>
      <w:bCs/>
      <w:color w:val="002776"/>
      <w:sz w:val="48"/>
      <w:szCs w:val="48"/>
    </w:rPr>
  </w:style>
  <w:style w:type="character" w:styleId="FollowedHyperlink">
    <w:name w:val="FollowedHyperlink"/>
    <w:basedOn w:val="DefaultParagraphFont"/>
    <w:unhideWhenUsed/>
    <w:rsid w:val="00672A56"/>
    <w:rPr>
      <w:color w:val="954F72" w:themeColor="followedHyperlink"/>
      <w:u w:val="single"/>
    </w:rPr>
  </w:style>
  <w:style w:type="paragraph" w:customStyle="1" w:styleId="af9">
    <w:name w:val="כותרת ראשונית"/>
    <w:basedOn w:val="Normal"/>
    <w:link w:val="afa"/>
    <w:rsid w:val="00672A56"/>
    <w:pPr>
      <w:spacing w:line="340" w:lineRule="exact"/>
      <w:jc w:val="left"/>
    </w:pPr>
    <w:rPr>
      <w:rFonts w:asciiTheme="minorHAnsi" w:eastAsiaTheme="minorHAnsi" w:hAnsiTheme="minorHAnsi" w:cstheme="minorBidi"/>
      <w:b/>
      <w:bCs/>
      <w:color w:val="FF6600"/>
      <w:sz w:val="28"/>
      <w:szCs w:val="28"/>
    </w:rPr>
  </w:style>
  <w:style w:type="paragraph" w:customStyle="1" w:styleId="afb">
    <w:name w:val="כותרת גדולה"/>
    <w:basedOn w:val="af9"/>
    <w:link w:val="afc"/>
    <w:rsid w:val="00672A56"/>
    <w:rPr>
      <w:sz w:val="32"/>
      <w:szCs w:val="32"/>
    </w:rPr>
  </w:style>
  <w:style w:type="character" w:customStyle="1" w:styleId="afa">
    <w:name w:val="כותרת ראשונית תו"/>
    <w:basedOn w:val="DefaultParagraphFont"/>
    <w:link w:val="af9"/>
    <w:rsid w:val="00672A56"/>
    <w:rPr>
      <w:b/>
      <w:bCs/>
      <w:color w:val="FF6600"/>
      <w:sz w:val="28"/>
      <w:szCs w:val="28"/>
    </w:rPr>
  </w:style>
  <w:style w:type="paragraph" w:customStyle="1" w:styleId="25">
    <w:name w:val="כותרת מספר 2"/>
    <w:basedOn w:val="af6"/>
    <w:link w:val="26"/>
    <w:rsid w:val="00672A56"/>
    <w:pPr>
      <w:spacing w:before="0" w:after="0" w:line="340" w:lineRule="exact"/>
    </w:pPr>
  </w:style>
  <w:style w:type="character" w:customStyle="1" w:styleId="afc">
    <w:name w:val="כותרת גדולה תו"/>
    <w:basedOn w:val="afa"/>
    <w:link w:val="afb"/>
    <w:rsid w:val="00672A56"/>
    <w:rPr>
      <w:b/>
      <w:bCs/>
      <w:color w:val="FF6600"/>
      <w:sz w:val="32"/>
      <w:szCs w:val="32"/>
    </w:rPr>
  </w:style>
  <w:style w:type="paragraph" w:customStyle="1" w:styleId="afd">
    <w:name w:val="אותיות רגילות"/>
    <w:basedOn w:val="Normal"/>
    <w:link w:val="afe"/>
    <w:rsid w:val="00672A56"/>
    <w:pPr>
      <w:spacing w:after="120" w:line="340" w:lineRule="exact"/>
    </w:pPr>
    <w:rPr>
      <w:noProof/>
      <w:sz w:val="16"/>
      <w:szCs w:val="18"/>
    </w:rPr>
  </w:style>
  <w:style w:type="character" w:customStyle="1" w:styleId="af7">
    <w:name w:val="בנק תו"/>
    <w:basedOn w:val="DefaultParagraphFont"/>
    <w:link w:val="af6"/>
    <w:rsid w:val="00672A56"/>
    <w:rPr>
      <w:rFonts w:ascii="Arial" w:eastAsia="Times New Roman" w:hAnsi="Arial" w:cs="Arial"/>
      <w:b/>
      <w:bCs/>
      <w:color w:val="FF6600"/>
      <w:sz w:val="24"/>
      <w:szCs w:val="24"/>
    </w:rPr>
  </w:style>
  <w:style w:type="character" w:customStyle="1" w:styleId="26">
    <w:name w:val="כותרת מספר 2 תו"/>
    <w:basedOn w:val="af7"/>
    <w:link w:val="25"/>
    <w:rsid w:val="00672A56"/>
    <w:rPr>
      <w:rFonts w:ascii="Arial" w:eastAsia="Times New Roman" w:hAnsi="Arial" w:cs="Arial"/>
      <w:b/>
      <w:bCs/>
      <w:color w:val="FF6600"/>
      <w:sz w:val="24"/>
      <w:szCs w:val="24"/>
    </w:rPr>
  </w:style>
  <w:style w:type="paragraph" w:customStyle="1" w:styleId="37">
    <w:name w:val="כותרת מספר 3"/>
    <w:basedOn w:val="25"/>
    <w:link w:val="38"/>
    <w:rsid w:val="00672A56"/>
  </w:style>
  <w:style w:type="character" w:customStyle="1" w:styleId="afe">
    <w:name w:val="אותיות רגילות תו"/>
    <w:basedOn w:val="DefaultParagraphFont"/>
    <w:link w:val="afd"/>
    <w:rsid w:val="00672A56"/>
    <w:rPr>
      <w:rFonts w:ascii="Arial" w:eastAsia="Times New Roman" w:hAnsi="Arial" w:cs="Arial"/>
      <w:noProof/>
      <w:color w:val="000000"/>
      <w:sz w:val="16"/>
      <w:szCs w:val="18"/>
    </w:rPr>
  </w:style>
  <w:style w:type="paragraph" w:customStyle="1" w:styleId="16">
    <w:name w:val="1 חדש"/>
    <w:basedOn w:val="af9"/>
    <w:link w:val="17"/>
    <w:rsid w:val="00672A56"/>
  </w:style>
  <w:style w:type="character" w:customStyle="1" w:styleId="38">
    <w:name w:val="כותרת מספר 3 תו"/>
    <w:basedOn w:val="26"/>
    <w:link w:val="37"/>
    <w:rsid w:val="00672A56"/>
    <w:rPr>
      <w:rFonts w:ascii="Arial" w:eastAsia="Times New Roman" w:hAnsi="Arial" w:cs="Arial"/>
      <w:b/>
      <w:bCs/>
      <w:color w:val="FF6600"/>
      <w:sz w:val="24"/>
      <w:szCs w:val="24"/>
    </w:rPr>
  </w:style>
  <w:style w:type="character" w:customStyle="1" w:styleId="17">
    <w:name w:val="1 חדש תו"/>
    <w:basedOn w:val="afa"/>
    <w:link w:val="16"/>
    <w:rsid w:val="00672A56"/>
    <w:rPr>
      <w:b/>
      <w:bCs/>
      <w:color w:val="FF6600"/>
      <w:sz w:val="28"/>
      <w:szCs w:val="28"/>
    </w:rPr>
  </w:style>
  <w:style w:type="paragraph" w:customStyle="1" w:styleId="4-">
    <w:name w:val="4 - חדש"/>
    <w:basedOn w:val="3-"/>
    <w:link w:val="4-0"/>
    <w:rsid w:val="00672A56"/>
    <w:rPr>
      <w:sz w:val="20"/>
      <w:szCs w:val="20"/>
    </w:rPr>
  </w:style>
  <w:style w:type="paragraph" w:customStyle="1" w:styleId="-15">
    <w:name w:val="סעיף תלוי-1"/>
    <w:basedOn w:val="af4"/>
    <w:link w:val="-16"/>
    <w:rsid w:val="00672A56"/>
    <w:pPr>
      <w:spacing w:after="120" w:line="340" w:lineRule="exact"/>
      <w:ind w:left="454" w:hanging="454"/>
      <w:jc w:val="both"/>
    </w:pPr>
    <w:rPr>
      <w:sz w:val="18"/>
      <w:szCs w:val="18"/>
    </w:rPr>
  </w:style>
  <w:style w:type="character" w:customStyle="1" w:styleId="4-0">
    <w:name w:val="4 - חדש תו"/>
    <w:basedOn w:val="3-0"/>
    <w:link w:val="4-"/>
    <w:rsid w:val="00672A56"/>
    <w:rPr>
      <w:rFonts w:ascii="Arial" w:eastAsia="Times New Roman" w:hAnsi="Arial" w:cs="Arial"/>
      <w:b/>
      <w:bCs/>
      <w:color w:val="FF6600"/>
      <w:sz w:val="20"/>
      <w:szCs w:val="20"/>
    </w:rPr>
  </w:style>
  <w:style w:type="character" w:customStyle="1" w:styleId="-16">
    <w:name w:val="סעיף תלוי-1 תו"/>
    <w:basedOn w:val="af5"/>
    <w:link w:val="-15"/>
    <w:rsid w:val="00672A56"/>
    <w:rPr>
      <w:color w:val="FF0000"/>
      <w:sz w:val="18"/>
      <w:szCs w:val="18"/>
    </w:rPr>
  </w:style>
  <w:style w:type="paragraph" w:customStyle="1" w:styleId="Char3">
    <w:name w:val="Char3"/>
    <w:basedOn w:val="Normal"/>
    <w:next w:val="Normal"/>
    <w:autoRedefine/>
    <w:rsid w:val="00672A56"/>
    <w:pPr>
      <w:spacing w:after="160" w:line="240" w:lineRule="exact"/>
      <w:jc w:val="right"/>
    </w:pPr>
    <w:rPr>
      <w:rFonts w:ascii="Tahoma" w:hAnsi="Tahoma"/>
      <w:color w:val="auto"/>
      <w:sz w:val="22"/>
      <w:szCs w:val="24"/>
      <w:lang w:bidi="ar-SA"/>
    </w:rPr>
  </w:style>
  <w:style w:type="paragraph" w:customStyle="1" w:styleId="3CharChar3">
    <w:name w:val="תו תו3 Char Char3"/>
    <w:basedOn w:val="Normal"/>
    <w:rsid w:val="00672A56"/>
    <w:pPr>
      <w:spacing w:after="160" w:line="240" w:lineRule="exact"/>
      <w:jc w:val="left"/>
    </w:pPr>
    <w:rPr>
      <w:rFonts w:ascii="Tahoma" w:hAnsi="Tahoma" w:cs="Times New Roman"/>
      <w:color w:val="auto"/>
      <w:sz w:val="20"/>
      <w:lang w:bidi="ar-SA"/>
    </w:rPr>
  </w:style>
  <w:style w:type="paragraph" w:customStyle="1" w:styleId="39">
    <w:name w:val="תו3"/>
    <w:basedOn w:val="Normal"/>
    <w:next w:val="Normal"/>
    <w:autoRedefine/>
    <w:rsid w:val="00672A56"/>
    <w:pPr>
      <w:spacing w:after="160" w:line="240" w:lineRule="exact"/>
      <w:jc w:val="right"/>
    </w:pPr>
    <w:rPr>
      <w:rFonts w:ascii="Tahoma" w:hAnsi="Tahoma"/>
      <w:color w:val="auto"/>
      <w:sz w:val="22"/>
      <w:szCs w:val="24"/>
      <w:lang w:bidi="ar-SA"/>
    </w:rPr>
  </w:style>
  <w:style w:type="paragraph" w:customStyle="1" w:styleId="27">
    <w:name w:val="פיסקת רשימה2"/>
    <w:basedOn w:val="Normal"/>
    <w:link w:val="28"/>
    <w:rsid w:val="00672A56"/>
    <w:pPr>
      <w:widowControl w:val="0"/>
      <w:overflowPunct w:val="0"/>
      <w:autoSpaceDE w:val="0"/>
      <w:autoSpaceDN w:val="0"/>
      <w:adjustRightInd w:val="0"/>
      <w:ind w:left="720"/>
      <w:jc w:val="left"/>
      <w:textAlignment w:val="baseline"/>
    </w:pPr>
    <w:rPr>
      <w:rFonts w:ascii="Times New Roman" w:hAnsi="Times New Roman" w:cs="David"/>
      <w:color w:val="auto"/>
      <w:sz w:val="22"/>
      <w:szCs w:val="22"/>
    </w:rPr>
  </w:style>
  <w:style w:type="character" w:customStyle="1" w:styleId="FootnoteTextChar">
    <w:name w:val="Footnote Text Char"/>
    <w:locked/>
    <w:rsid w:val="00672A56"/>
    <w:rPr>
      <w:rFonts w:cs="David"/>
      <w:lang w:val="en-US" w:eastAsia="en-US" w:bidi="he-IL"/>
    </w:rPr>
  </w:style>
  <w:style w:type="paragraph" w:customStyle="1" w:styleId="CharChar1CharCharCharCharCharCharCharChar1CharCharCharCharCharCharCharCharCharCharCharCharCharChar1">
    <w:name w:val="Char Char1 תו תו Char Char תו תו Char Char תו תו Char Char תו תו Char Char תו תו1 Char Char תו תו Char Char תו תו Char Char תו תו Char Char תו תו Char Char תו תו Char Char תו תו Char Char1"/>
    <w:basedOn w:val="Normal"/>
    <w:uiPriority w:val="99"/>
    <w:rsid w:val="00672A56"/>
    <w:pPr>
      <w:spacing w:after="160" w:line="240" w:lineRule="exact"/>
      <w:jc w:val="left"/>
    </w:pPr>
    <w:rPr>
      <w:rFonts w:ascii="Verdana" w:hAnsi="Verdana"/>
      <w:color w:val="auto"/>
      <w:lang w:bidi="ar-SA"/>
    </w:rPr>
  </w:style>
  <w:style w:type="paragraph" w:customStyle="1" w:styleId="29">
    <w:name w:val="תו2"/>
    <w:basedOn w:val="Normal"/>
    <w:rsid w:val="00672A56"/>
    <w:pPr>
      <w:spacing w:after="160" w:line="240" w:lineRule="exact"/>
      <w:jc w:val="left"/>
    </w:pPr>
    <w:rPr>
      <w:rFonts w:ascii="Tahoma" w:hAnsi="Tahoma" w:cs="Times New Roman"/>
      <w:color w:val="auto"/>
      <w:sz w:val="20"/>
      <w:lang w:bidi="ar-SA"/>
    </w:rPr>
  </w:style>
  <w:style w:type="paragraph" w:customStyle="1" w:styleId="Char2">
    <w:name w:val="Char2"/>
    <w:basedOn w:val="Normal"/>
    <w:next w:val="Normal"/>
    <w:autoRedefine/>
    <w:rsid w:val="00672A56"/>
    <w:pPr>
      <w:spacing w:after="120" w:line="340" w:lineRule="exact"/>
      <w:jc w:val="left"/>
    </w:pPr>
    <w:rPr>
      <w:rFonts w:ascii="Tahoma" w:hAnsi="Tahoma"/>
      <w:b/>
      <w:bCs/>
      <w:color w:val="auto"/>
      <w:sz w:val="24"/>
      <w:szCs w:val="24"/>
    </w:rPr>
  </w:style>
  <w:style w:type="paragraph" w:customStyle="1" w:styleId="3CharChar2">
    <w:name w:val="תו תו3 Char Char2"/>
    <w:basedOn w:val="Normal"/>
    <w:rsid w:val="00672A56"/>
    <w:pPr>
      <w:spacing w:after="160" w:line="240" w:lineRule="exact"/>
      <w:jc w:val="left"/>
    </w:pPr>
    <w:rPr>
      <w:rFonts w:ascii="Tahoma" w:hAnsi="Tahoma" w:cs="Times New Roman"/>
      <w:color w:val="auto"/>
      <w:lang w:bidi="ar-SA"/>
    </w:rPr>
  </w:style>
  <w:style w:type="paragraph" w:customStyle="1" w:styleId="18">
    <w:name w:val="תו תו תו תו תו תו תו תו תו תו תו תו תו תו תו תו תו תו תו תו תו תו תו תו תו תו תו תו תו תו תו תו1"/>
    <w:basedOn w:val="Normal"/>
    <w:next w:val="Normal"/>
    <w:autoRedefine/>
    <w:uiPriority w:val="99"/>
    <w:rsid w:val="00672A56"/>
    <w:pPr>
      <w:spacing w:after="160" w:line="240" w:lineRule="exact"/>
      <w:jc w:val="right"/>
    </w:pPr>
    <w:rPr>
      <w:rFonts w:ascii="Tahoma" w:hAnsi="Tahoma"/>
      <w:color w:val="auto"/>
      <w:sz w:val="22"/>
      <w:szCs w:val="24"/>
      <w:lang w:bidi="ar-SA"/>
    </w:rPr>
  </w:style>
  <w:style w:type="paragraph" w:customStyle="1" w:styleId="2-1">
    <w:name w:val="מקו2-"/>
    <w:basedOn w:val="Normal"/>
    <w:link w:val="2-3"/>
    <w:rsid w:val="00672A56"/>
    <w:pPr>
      <w:widowControl w:val="0"/>
      <w:tabs>
        <w:tab w:val="num" w:pos="1603"/>
      </w:tabs>
      <w:spacing w:line="340" w:lineRule="exact"/>
      <w:ind w:left="1603" w:hanging="340"/>
    </w:pPr>
    <w:rPr>
      <w:sz w:val="16"/>
      <w:szCs w:val="18"/>
    </w:rPr>
  </w:style>
  <w:style w:type="paragraph" w:customStyle="1" w:styleId="-2-">
    <w:name w:val="מקו-2-"/>
    <w:basedOn w:val="27"/>
    <w:link w:val="-2-0"/>
    <w:rsid w:val="00672A56"/>
    <w:pPr>
      <w:widowControl/>
      <w:numPr>
        <w:numId w:val="14"/>
      </w:numPr>
      <w:overflowPunct/>
      <w:autoSpaceDE/>
      <w:autoSpaceDN/>
      <w:adjustRightInd/>
      <w:spacing w:line="320" w:lineRule="exact"/>
      <w:contextualSpacing/>
      <w:jc w:val="both"/>
      <w:textAlignment w:val="auto"/>
    </w:pPr>
    <w:rPr>
      <w:rFonts w:ascii="Arial" w:hAnsi="Arial" w:cs="Arial"/>
      <w:sz w:val="18"/>
      <w:szCs w:val="18"/>
    </w:rPr>
  </w:style>
  <w:style w:type="character" w:customStyle="1" w:styleId="2-3">
    <w:name w:val="מקו2- תו"/>
    <w:basedOn w:val="DefaultParagraphFont"/>
    <w:link w:val="2-1"/>
    <w:rsid w:val="00672A56"/>
    <w:rPr>
      <w:rFonts w:ascii="Arial" w:eastAsia="Times New Roman" w:hAnsi="Arial" w:cs="Arial"/>
      <w:color w:val="000000"/>
      <w:sz w:val="16"/>
      <w:szCs w:val="18"/>
    </w:rPr>
  </w:style>
  <w:style w:type="character" w:customStyle="1" w:styleId="28">
    <w:name w:val="פיסקת רשימה2 תו"/>
    <w:basedOn w:val="DefaultParagraphFont"/>
    <w:link w:val="27"/>
    <w:rsid w:val="00672A56"/>
    <w:rPr>
      <w:rFonts w:ascii="Times New Roman" w:eastAsia="Times New Roman" w:hAnsi="Times New Roman" w:cs="David"/>
    </w:rPr>
  </w:style>
  <w:style w:type="numbering" w:customStyle="1" w:styleId="51">
    <w:name w:val="ללא רשימה5"/>
    <w:next w:val="NoList"/>
    <w:uiPriority w:val="99"/>
    <w:semiHidden/>
    <w:unhideWhenUsed/>
    <w:rsid w:val="00672A56"/>
  </w:style>
  <w:style w:type="numbering" w:customStyle="1" w:styleId="111">
    <w:name w:val="ללא רשימה11"/>
    <w:next w:val="NoList"/>
    <w:uiPriority w:val="99"/>
    <w:semiHidden/>
    <w:rsid w:val="00672A56"/>
  </w:style>
  <w:style w:type="table" w:customStyle="1" w:styleId="340">
    <w:name w:val="רשימה בטבלה 34"/>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customStyle="1" w:styleId="19">
    <w:name w:val="טבלת רשת1"/>
    <w:basedOn w:val="TableNormal"/>
    <w:next w:val="TableGrid"/>
    <w:rsid w:val="00672A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ללא רשימה21"/>
    <w:next w:val="NoList"/>
    <w:semiHidden/>
    <w:rsid w:val="00672A56"/>
  </w:style>
  <w:style w:type="table" w:customStyle="1" w:styleId="311">
    <w:name w:val="רשימה בטבלה 31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numbering" w:customStyle="1" w:styleId="310">
    <w:name w:val="ללא רשימה31"/>
    <w:next w:val="NoList"/>
    <w:uiPriority w:val="99"/>
    <w:semiHidden/>
    <w:rsid w:val="00672A56"/>
  </w:style>
  <w:style w:type="table" w:customStyle="1" w:styleId="321">
    <w:name w:val="רשימה בטבלה 32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numbering" w:customStyle="1" w:styleId="410">
    <w:name w:val="ללא רשימה41"/>
    <w:next w:val="NoList"/>
    <w:uiPriority w:val="99"/>
    <w:semiHidden/>
    <w:unhideWhenUsed/>
    <w:rsid w:val="00672A56"/>
  </w:style>
  <w:style w:type="table" w:customStyle="1" w:styleId="112">
    <w:name w:val="רשת טבלה11"/>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רשימה בטבלה 33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11">
    <w:name w:val="רשת בהירה - הדגשה 111"/>
    <w:uiPriority w:val="99"/>
    <w:rsid w:val="00672A56"/>
    <w:pPr>
      <w:spacing w:after="0" w:line="240" w:lineRule="auto"/>
    </w:pPr>
    <w:rPr>
      <w:rFonts w:ascii="Calibri" w:eastAsia="Calibri" w:hAnsi="Calibri" w:cs="Arial"/>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character" w:customStyle="1" w:styleId="1a">
    <w:name w:val="טקסט הערת סיום תו1"/>
    <w:uiPriority w:val="99"/>
    <w:rsid w:val="00672A56"/>
    <w:rPr>
      <w:rFonts w:cs="David"/>
      <w:noProof/>
      <w:lang w:eastAsia="he-IL"/>
    </w:rPr>
  </w:style>
  <w:style w:type="table" w:customStyle="1" w:styleId="TableNormal1">
    <w:name w:val="Table Normal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paragraph" w:customStyle="1" w:styleId="1b">
    <w:name w:val="רגיל1"/>
    <w:basedOn w:val="Normal"/>
    <w:uiPriority w:val="99"/>
    <w:rsid w:val="00672A56"/>
    <w:pPr>
      <w:jc w:val="left"/>
    </w:pPr>
    <w:rPr>
      <w:rFonts w:ascii="Times New Roman" w:hAnsi="Times New Roman" w:cs="David"/>
      <w:noProof/>
      <w:color w:val="auto"/>
      <w:sz w:val="20"/>
      <w:szCs w:val="24"/>
      <w:lang w:eastAsia="he-IL"/>
    </w:rPr>
  </w:style>
  <w:style w:type="paragraph" w:customStyle="1" w:styleId="aff">
    <w:name w:val="תו תו תו תו תו תו תו תו תו תו תו תו תו תו תו תו תו תו תו תו תו תו תו תו תו תו תו תו תו תו תו תו תו תו"/>
    <w:basedOn w:val="Normal"/>
    <w:next w:val="1b"/>
    <w:autoRedefine/>
    <w:uiPriority w:val="99"/>
    <w:rsid w:val="00672A56"/>
    <w:pPr>
      <w:spacing w:after="160" w:line="240" w:lineRule="exact"/>
      <w:jc w:val="right"/>
    </w:pPr>
    <w:rPr>
      <w:rFonts w:ascii="Tahoma" w:hAnsi="Tahoma"/>
      <w:color w:val="auto"/>
      <w:sz w:val="22"/>
      <w:szCs w:val="24"/>
      <w:lang w:bidi="ar-SA"/>
    </w:rPr>
  </w:style>
  <w:style w:type="paragraph" w:customStyle="1" w:styleId="DefaultParagraphFont0">
    <w:name w:val="Default Paragraph Font תו תו תו תו תו תו תו תו תו תו תו תו תו תו תו תו תו תו תו תו תו תו"/>
    <w:basedOn w:val="Normal"/>
    <w:next w:val="Normal"/>
    <w:autoRedefine/>
    <w:uiPriority w:val="99"/>
    <w:rsid w:val="00672A56"/>
    <w:pPr>
      <w:spacing w:after="160" w:line="240" w:lineRule="exact"/>
      <w:jc w:val="right"/>
    </w:pPr>
    <w:rPr>
      <w:rFonts w:ascii="Tahoma" w:hAnsi="Tahoma"/>
      <w:color w:val="auto"/>
      <w:sz w:val="22"/>
      <w:szCs w:val="24"/>
      <w:lang w:bidi="ar-SA"/>
    </w:rPr>
  </w:style>
  <w:style w:type="paragraph" w:customStyle="1" w:styleId="1c">
    <w:name w:val="1)"/>
    <w:basedOn w:val="a0"/>
    <w:autoRedefine/>
    <w:uiPriority w:val="99"/>
    <w:rsid w:val="00672A56"/>
    <w:pPr>
      <w:numPr>
        <w:numId w:val="0"/>
      </w:numPr>
      <w:tabs>
        <w:tab w:val="left" w:pos="7440"/>
        <w:tab w:val="left" w:pos="8720"/>
      </w:tabs>
      <w:spacing w:before="0" w:line="290" w:lineRule="exact"/>
      <w:ind w:left="3277" w:right="1134" w:hanging="397"/>
    </w:pPr>
    <w:rPr>
      <w:rFonts w:ascii="Times New Roman" w:hAnsi="Times New Roman" w:cs="OronMF"/>
      <w:snapToGrid w:val="0"/>
      <w:color w:val="auto"/>
      <w:sz w:val="20"/>
    </w:rPr>
  </w:style>
  <w:style w:type="paragraph" w:customStyle="1" w:styleId="140">
    <w:name w:val="14"/>
    <w:basedOn w:val="Normal"/>
    <w:uiPriority w:val="99"/>
    <w:rsid w:val="00672A56"/>
    <w:pPr>
      <w:tabs>
        <w:tab w:val="left" w:pos="7440"/>
        <w:tab w:val="left" w:pos="8720"/>
      </w:tabs>
      <w:spacing w:line="340" w:lineRule="exact"/>
      <w:ind w:left="1134" w:right="1134"/>
    </w:pPr>
    <w:rPr>
      <w:rFonts w:ascii="Times New Roman" w:hAnsi="Times New Roman" w:cs="OronMF"/>
      <w:noProof/>
      <w:color w:val="auto"/>
      <w:sz w:val="20"/>
      <w:szCs w:val="24"/>
      <w:lang w:eastAsia="he-IL"/>
    </w:rPr>
  </w:style>
  <w:style w:type="paragraph" w:customStyle="1" w:styleId="1d">
    <w:name w:val="רמה 1"/>
    <w:basedOn w:val="Normal"/>
    <w:uiPriority w:val="99"/>
    <w:rsid w:val="00672A56"/>
    <w:pPr>
      <w:tabs>
        <w:tab w:val="num" w:pos="567"/>
      </w:tabs>
      <w:spacing w:before="240"/>
      <w:ind w:left="567" w:hanging="397"/>
    </w:pPr>
    <w:rPr>
      <w:rFonts w:ascii="Times New Roman" w:hAnsi="Times New Roman" w:cs="Times New Roman"/>
      <w:color w:val="auto"/>
      <w:sz w:val="24"/>
      <w:szCs w:val="24"/>
    </w:rPr>
  </w:style>
  <w:style w:type="character" w:customStyle="1" w:styleId="Heading11">
    <w:name w:val="Heading 1 תו תו1"/>
    <w:aliases w:val="Heading 1 תו1 תו,Heading 1 תו תו תו"/>
    <w:rsid w:val="00672A56"/>
    <w:rPr>
      <w:rFonts w:ascii="Times New Roman" w:eastAsia="Times New Roman" w:hAnsi="Times New Roman" w:cs="Times New Roman"/>
      <w:b/>
      <w:bCs/>
      <w:sz w:val="40"/>
      <w:szCs w:val="40"/>
      <w:shd w:val="clear" w:color="0000FF" w:fill="auto"/>
      <w:lang w:val="en-US" w:eastAsia="x-none"/>
    </w:rPr>
  </w:style>
  <w:style w:type="character" w:customStyle="1" w:styleId="312">
    <w:name w:val="כותרת 3 תו1"/>
    <w:aliases w:val="כותרת 3 תו תו,Heading 3 תו תו,כותרת 3 תו1 תו תו,כותרת 3 תו תו תו תו,Heading 3 תו תו תו תו,Heading 3 תו1"/>
    <w:rsid w:val="00672A56"/>
    <w:rPr>
      <w:rFonts w:cs="OronMF"/>
      <w:b/>
      <w:bCs/>
      <w:noProof/>
      <w:color w:val="000000"/>
      <w:spacing w:val="-4"/>
      <w:sz w:val="19"/>
      <w:szCs w:val="19"/>
      <w:lang w:eastAsia="he-IL"/>
    </w:rPr>
  </w:style>
  <w:style w:type="character" w:customStyle="1" w:styleId="Beur">
    <w:name w:val="Beur"/>
    <w:rsid w:val="00672A56"/>
    <w:rPr>
      <w:rFonts w:ascii="Times New Roman" w:hAnsi="Times New Roman"/>
      <w:b/>
      <w:sz w:val="26"/>
    </w:rPr>
  </w:style>
  <w:style w:type="character" w:customStyle="1" w:styleId="Gadol">
    <w:name w:val="Gadol"/>
    <w:rsid w:val="00672A56"/>
    <w:rPr>
      <w:rFonts w:ascii="Times New Roman" w:hAnsi="Times New Roman"/>
      <w:b/>
      <w:sz w:val="30"/>
    </w:rPr>
  </w:style>
  <w:style w:type="character" w:customStyle="1" w:styleId="Koteret">
    <w:name w:val="Koteret"/>
    <w:rsid w:val="00672A56"/>
    <w:rPr>
      <w:rFonts w:ascii="Times New Roman" w:hAnsi="Times New Roman"/>
      <w:b/>
      <w:sz w:val="18"/>
    </w:rPr>
  </w:style>
  <w:style w:type="paragraph" w:customStyle="1" w:styleId="aff0">
    <w:name w:val="באור"/>
    <w:basedOn w:val="Normal"/>
    <w:uiPriority w:val="99"/>
    <w:rsid w:val="00672A56"/>
    <w:pPr>
      <w:widowControl w:val="0"/>
      <w:overflowPunct w:val="0"/>
      <w:autoSpaceDE w:val="0"/>
      <w:autoSpaceDN w:val="0"/>
      <w:adjustRightInd w:val="0"/>
      <w:jc w:val="left"/>
      <w:textAlignment w:val="baseline"/>
    </w:pPr>
    <w:rPr>
      <w:rFonts w:ascii="Times New Roman" w:hAnsi="Times New Roman" w:cs="David"/>
      <w:b/>
      <w:bCs/>
      <w:color w:val="auto"/>
      <w:sz w:val="26"/>
      <w:szCs w:val="26"/>
      <w:lang w:eastAsia="he-IL"/>
    </w:rPr>
  </w:style>
  <w:style w:type="paragraph" w:customStyle="1" w:styleId="aff1">
    <w:name w:val="גדול"/>
    <w:basedOn w:val="Normal"/>
    <w:uiPriority w:val="99"/>
    <w:rsid w:val="00672A56"/>
    <w:pPr>
      <w:widowControl w:val="0"/>
      <w:overflowPunct w:val="0"/>
      <w:autoSpaceDE w:val="0"/>
      <w:autoSpaceDN w:val="0"/>
      <w:adjustRightInd w:val="0"/>
      <w:jc w:val="left"/>
      <w:textAlignment w:val="baseline"/>
    </w:pPr>
    <w:rPr>
      <w:rFonts w:ascii="Times New Roman" w:hAnsi="Times New Roman" w:cs="David"/>
      <w:b/>
      <w:bCs/>
      <w:color w:val="auto"/>
      <w:sz w:val="30"/>
      <w:szCs w:val="30"/>
      <w:lang w:eastAsia="he-IL"/>
    </w:rPr>
  </w:style>
  <w:style w:type="paragraph" w:customStyle="1" w:styleId="90">
    <w:name w:val="מדויק 9"/>
    <w:basedOn w:val="a6"/>
    <w:uiPriority w:val="99"/>
    <w:rsid w:val="00672A56"/>
    <w:pPr>
      <w:widowControl w:val="0"/>
      <w:suppressAutoHyphens/>
      <w:overflowPunct w:val="0"/>
      <w:autoSpaceDE w:val="0"/>
      <w:autoSpaceDN w:val="0"/>
      <w:adjustRightInd w:val="0"/>
      <w:spacing w:line="180" w:lineRule="exact"/>
      <w:ind w:left="-108"/>
      <w:textAlignment w:val="baseline"/>
    </w:pPr>
    <w:rPr>
      <w:rFonts w:ascii="Times New Roman" w:hAnsi="Times New Roman" w:cs="David"/>
      <w:b/>
      <w:bCs/>
      <w:snapToGrid/>
      <w:color w:val="FF6600"/>
      <w:szCs w:val="18"/>
    </w:rPr>
  </w:style>
  <w:style w:type="paragraph" w:customStyle="1" w:styleId="aff2">
    <w:name w:val="a"/>
    <w:basedOn w:val="Normal"/>
    <w:uiPriority w:val="99"/>
    <w:rsid w:val="00672A56"/>
    <w:pPr>
      <w:spacing w:before="100" w:beforeAutospacing="1" w:after="100" w:afterAutospacing="1"/>
      <w:jc w:val="left"/>
    </w:pPr>
    <w:rPr>
      <w:rFonts w:ascii="Arial Unicode MS" w:eastAsia="Arial Unicode MS" w:hAnsi="Arial Unicode MS" w:cs="Arial Unicode MS"/>
      <w:color w:val="auto"/>
      <w:sz w:val="24"/>
      <w:szCs w:val="24"/>
    </w:rPr>
  </w:style>
  <w:style w:type="character" w:customStyle="1" w:styleId="aff3">
    <w:name w:val="ëåúøú"/>
    <w:rsid w:val="00672A56"/>
    <w:rPr>
      <w:rFonts w:cs="David"/>
      <w:bCs/>
      <w:szCs w:val="18"/>
    </w:rPr>
  </w:style>
  <w:style w:type="paragraph" w:customStyle="1" w:styleId="1e">
    <w:name w:val="היסט1"/>
    <w:basedOn w:val="Normal"/>
    <w:uiPriority w:val="99"/>
    <w:rsid w:val="00672A56"/>
    <w:pPr>
      <w:tabs>
        <w:tab w:val="num" w:pos="1119"/>
      </w:tabs>
      <w:spacing w:line="360" w:lineRule="auto"/>
      <w:ind w:left="1119" w:hanging="720"/>
      <w:jc w:val="left"/>
    </w:pPr>
    <w:rPr>
      <w:rFonts w:ascii="Times New Roman" w:eastAsia="SimSun" w:hAnsi="Times New Roman" w:cs="Times New Roman"/>
      <w:noProof/>
      <w:color w:val="auto"/>
      <w:sz w:val="24"/>
      <w:szCs w:val="24"/>
      <w:lang w:eastAsia="he-IL"/>
    </w:rPr>
  </w:style>
  <w:style w:type="paragraph" w:customStyle="1" w:styleId="2a">
    <w:name w:val="רמה 2"/>
    <w:basedOn w:val="1d"/>
    <w:uiPriority w:val="99"/>
    <w:rsid w:val="00672A56"/>
    <w:pPr>
      <w:numPr>
        <w:ilvl w:val="1"/>
      </w:numPr>
      <w:tabs>
        <w:tab w:val="num" w:pos="360"/>
        <w:tab w:val="num" w:pos="567"/>
      </w:tabs>
      <w:ind w:left="567" w:hanging="397"/>
    </w:pPr>
  </w:style>
  <w:style w:type="paragraph" w:customStyle="1" w:styleId="3a">
    <w:name w:val="רמה 3"/>
    <w:basedOn w:val="2a"/>
    <w:uiPriority w:val="99"/>
    <w:rsid w:val="00672A56"/>
    <w:pPr>
      <w:numPr>
        <w:ilvl w:val="2"/>
      </w:numPr>
      <w:tabs>
        <w:tab w:val="num" w:pos="360"/>
      </w:tabs>
      <w:ind w:left="567" w:hanging="397"/>
    </w:pPr>
  </w:style>
  <w:style w:type="paragraph" w:customStyle="1" w:styleId="44">
    <w:name w:val="רמה 4"/>
    <w:basedOn w:val="3a"/>
    <w:uiPriority w:val="99"/>
    <w:rsid w:val="00672A56"/>
    <w:pPr>
      <w:numPr>
        <w:ilvl w:val="3"/>
      </w:numPr>
      <w:tabs>
        <w:tab w:val="num" w:pos="360"/>
      </w:tabs>
      <w:ind w:left="567" w:hanging="397"/>
    </w:pPr>
  </w:style>
  <w:style w:type="paragraph" w:customStyle="1" w:styleId="52">
    <w:name w:val="רמה 5"/>
    <w:basedOn w:val="44"/>
    <w:uiPriority w:val="99"/>
    <w:rsid w:val="00672A56"/>
    <w:pPr>
      <w:numPr>
        <w:ilvl w:val="4"/>
      </w:numPr>
      <w:tabs>
        <w:tab w:val="num" w:pos="360"/>
      </w:tabs>
      <w:ind w:left="567" w:hanging="397"/>
    </w:pPr>
  </w:style>
  <w:style w:type="paragraph" w:customStyle="1" w:styleId="aff4">
    <w:name w:val="טקסט"/>
    <w:basedOn w:val="Normal"/>
    <w:uiPriority w:val="99"/>
    <w:rsid w:val="00672A56"/>
    <w:pPr>
      <w:widowControl w:val="0"/>
      <w:spacing w:line="260" w:lineRule="auto"/>
      <w:jc w:val="left"/>
    </w:pPr>
    <w:rPr>
      <w:rFonts w:ascii="Times New Roman" w:hAnsi="Times New Roman" w:cs="David"/>
      <w:color w:val="auto"/>
      <w:sz w:val="20"/>
      <w:szCs w:val="22"/>
    </w:rPr>
  </w:style>
  <w:style w:type="paragraph" w:styleId="BodyTextFirstIndent2">
    <w:name w:val="Body Text First Indent 2"/>
    <w:basedOn w:val="BodyTextIndent"/>
    <w:link w:val="BodyTextFirstIndent2Char"/>
    <w:uiPriority w:val="99"/>
    <w:rsid w:val="00672A56"/>
    <w:pPr>
      <w:widowControl/>
      <w:spacing w:after="120" w:line="240" w:lineRule="auto"/>
      <w:ind w:left="360" w:firstLine="210"/>
      <w:jc w:val="left"/>
    </w:pPr>
    <w:rPr>
      <w:rFonts w:ascii="Times New Roman" w:hAnsi="Times New Roman" w:cs="Times New Roman"/>
      <w:snapToGrid/>
      <w:color w:val="auto"/>
      <w:sz w:val="24"/>
      <w:szCs w:val="24"/>
      <w:lang w:eastAsia="x-none" w:bidi="ar-SA"/>
    </w:rPr>
  </w:style>
  <w:style w:type="character" w:customStyle="1" w:styleId="BodyTextFirstIndent2Char">
    <w:name w:val="Body Text First Indent 2 Char"/>
    <w:basedOn w:val="BodyTextIndentChar"/>
    <w:link w:val="BodyTextFirstIndent2"/>
    <w:uiPriority w:val="99"/>
    <w:rsid w:val="00672A56"/>
    <w:rPr>
      <w:rFonts w:ascii="Times New Roman" w:eastAsia="Times New Roman" w:hAnsi="Times New Roman" w:cs="Times New Roman"/>
      <w:snapToGrid/>
      <w:color w:val="000000"/>
      <w:sz w:val="24"/>
      <w:szCs w:val="24"/>
      <w:lang w:val="en-US" w:eastAsia="x-none" w:bidi="ar-SA"/>
    </w:rPr>
  </w:style>
  <w:style w:type="paragraph" w:styleId="List">
    <w:name w:val="List"/>
    <w:basedOn w:val="Normal"/>
    <w:uiPriority w:val="99"/>
    <w:rsid w:val="00672A56"/>
    <w:pPr>
      <w:ind w:left="283" w:hanging="283"/>
      <w:jc w:val="left"/>
    </w:pPr>
    <w:rPr>
      <w:rFonts w:ascii="Times New Roman" w:hAnsi="Times New Roman" w:cs="Times New Roman"/>
      <w:color w:val="auto"/>
      <w:sz w:val="24"/>
      <w:szCs w:val="24"/>
      <w:lang w:bidi="ar-SA"/>
    </w:rPr>
  </w:style>
  <w:style w:type="paragraph" w:styleId="List2">
    <w:name w:val="List 2"/>
    <w:basedOn w:val="Normal"/>
    <w:uiPriority w:val="99"/>
    <w:rsid w:val="00672A56"/>
    <w:pPr>
      <w:ind w:left="566" w:hanging="283"/>
      <w:jc w:val="left"/>
    </w:pPr>
    <w:rPr>
      <w:rFonts w:ascii="Times New Roman" w:hAnsi="Times New Roman" w:cs="Times New Roman"/>
      <w:color w:val="auto"/>
      <w:sz w:val="24"/>
      <w:szCs w:val="24"/>
      <w:lang w:bidi="ar-SA"/>
    </w:rPr>
  </w:style>
  <w:style w:type="paragraph" w:styleId="List3">
    <w:name w:val="List 3"/>
    <w:basedOn w:val="Normal"/>
    <w:uiPriority w:val="99"/>
    <w:rsid w:val="00672A56"/>
    <w:pPr>
      <w:ind w:left="849" w:hanging="283"/>
      <w:jc w:val="left"/>
    </w:pPr>
    <w:rPr>
      <w:rFonts w:ascii="Times New Roman" w:hAnsi="Times New Roman" w:cs="Times New Roman"/>
      <w:color w:val="auto"/>
      <w:sz w:val="24"/>
      <w:szCs w:val="24"/>
      <w:lang w:bidi="ar-SA"/>
    </w:rPr>
  </w:style>
  <w:style w:type="paragraph" w:styleId="List4">
    <w:name w:val="List 4"/>
    <w:basedOn w:val="Normal"/>
    <w:uiPriority w:val="99"/>
    <w:rsid w:val="00672A56"/>
    <w:pPr>
      <w:ind w:left="1132" w:hanging="283"/>
      <w:jc w:val="left"/>
    </w:pPr>
    <w:rPr>
      <w:rFonts w:ascii="Times New Roman" w:hAnsi="Times New Roman" w:cs="Times New Roman"/>
      <w:color w:val="auto"/>
      <w:sz w:val="24"/>
      <w:szCs w:val="24"/>
      <w:lang w:bidi="ar-SA"/>
    </w:rPr>
  </w:style>
  <w:style w:type="paragraph" w:styleId="List5">
    <w:name w:val="List 5"/>
    <w:basedOn w:val="Normal"/>
    <w:uiPriority w:val="99"/>
    <w:rsid w:val="00672A56"/>
    <w:pPr>
      <w:ind w:left="1415" w:hanging="283"/>
      <w:jc w:val="left"/>
    </w:pPr>
    <w:rPr>
      <w:rFonts w:ascii="Times New Roman" w:hAnsi="Times New Roman" w:cs="Times New Roman"/>
      <w:color w:val="auto"/>
      <w:sz w:val="24"/>
      <w:szCs w:val="24"/>
      <w:lang w:bidi="ar-SA"/>
    </w:rPr>
  </w:style>
  <w:style w:type="paragraph" w:styleId="Salutation">
    <w:name w:val="Salutation"/>
    <w:basedOn w:val="Normal"/>
    <w:next w:val="Normal"/>
    <w:link w:val="SalutationChar"/>
    <w:uiPriority w:val="99"/>
    <w:rsid w:val="00672A56"/>
    <w:pPr>
      <w:jc w:val="left"/>
    </w:pPr>
    <w:rPr>
      <w:rFonts w:ascii="Times New Roman" w:hAnsi="Times New Roman" w:cs="Times New Roman"/>
      <w:color w:val="auto"/>
      <w:sz w:val="24"/>
      <w:szCs w:val="24"/>
      <w:lang w:eastAsia="x-none" w:bidi="ar-SA"/>
    </w:rPr>
  </w:style>
  <w:style w:type="character" w:customStyle="1" w:styleId="SalutationChar">
    <w:name w:val="Salutation Char"/>
    <w:basedOn w:val="DefaultParagraphFont"/>
    <w:link w:val="Salutation"/>
    <w:uiPriority w:val="99"/>
    <w:rsid w:val="00672A56"/>
    <w:rPr>
      <w:rFonts w:ascii="Times New Roman" w:eastAsia="Times New Roman" w:hAnsi="Times New Roman" w:cs="Times New Roman"/>
      <w:sz w:val="24"/>
      <w:szCs w:val="24"/>
      <w:lang w:val="en-US" w:eastAsia="x-none" w:bidi="ar-SA"/>
    </w:rPr>
  </w:style>
  <w:style w:type="paragraph" w:styleId="ListContinue2">
    <w:name w:val="List Continue 2"/>
    <w:basedOn w:val="Normal"/>
    <w:uiPriority w:val="99"/>
    <w:rsid w:val="00672A56"/>
    <w:pPr>
      <w:spacing w:after="120"/>
      <w:ind w:left="566"/>
      <w:jc w:val="left"/>
    </w:pPr>
    <w:rPr>
      <w:rFonts w:ascii="Times New Roman" w:hAnsi="Times New Roman" w:cs="Times New Roman"/>
      <w:color w:val="auto"/>
      <w:sz w:val="24"/>
      <w:szCs w:val="24"/>
      <w:lang w:bidi="ar-SA"/>
    </w:rPr>
  </w:style>
  <w:style w:type="paragraph" w:styleId="ListContinue3">
    <w:name w:val="List Continue 3"/>
    <w:basedOn w:val="Normal"/>
    <w:uiPriority w:val="99"/>
    <w:rsid w:val="00672A56"/>
    <w:pPr>
      <w:spacing w:after="120"/>
      <w:ind w:left="849"/>
      <w:jc w:val="left"/>
    </w:pPr>
    <w:rPr>
      <w:rFonts w:ascii="Times New Roman" w:hAnsi="Times New Roman" w:cs="Times New Roman"/>
      <w:color w:val="auto"/>
      <w:sz w:val="24"/>
      <w:szCs w:val="24"/>
      <w:lang w:bidi="ar-SA"/>
    </w:rPr>
  </w:style>
  <w:style w:type="paragraph" w:customStyle="1" w:styleId="InsideAddress">
    <w:name w:val="Inside Address"/>
    <w:basedOn w:val="Normal"/>
    <w:uiPriority w:val="99"/>
    <w:rsid w:val="00672A56"/>
    <w:pPr>
      <w:jc w:val="left"/>
    </w:pPr>
    <w:rPr>
      <w:rFonts w:ascii="Times New Roman" w:hAnsi="Times New Roman" w:cs="Times New Roman"/>
      <w:color w:val="auto"/>
      <w:sz w:val="24"/>
      <w:szCs w:val="24"/>
      <w:lang w:bidi="ar-SA"/>
    </w:rPr>
  </w:style>
  <w:style w:type="paragraph" w:customStyle="1" w:styleId="AttentionLine">
    <w:name w:val="Attention Line"/>
    <w:basedOn w:val="BodyText"/>
    <w:uiPriority w:val="99"/>
    <w:rsid w:val="00672A56"/>
    <w:pPr>
      <w:overflowPunct w:val="0"/>
      <w:autoSpaceDE w:val="0"/>
      <w:autoSpaceDN w:val="0"/>
      <w:adjustRightInd w:val="0"/>
      <w:spacing w:line="360" w:lineRule="auto"/>
      <w:textAlignment w:val="baseline"/>
    </w:pPr>
    <w:rPr>
      <w:rFonts w:ascii="Times New Roman" w:hAnsi="Times New Roman" w:cs="Times New Roman"/>
      <w:color w:val="auto"/>
      <w:sz w:val="24"/>
      <w:szCs w:val="24"/>
      <w:lang w:eastAsia="he-IL"/>
    </w:rPr>
  </w:style>
  <w:style w:type="paragraph" w:customStyle="1" w:styleId="SubjectLine">
    <w:name w:val="Subject Line"/>
    <w:basedOn w:val="Normal"/>
    <w:uiPriority w:val="99"/>
    <w:rsid w:val="00672A56"/>
    <w:pPr>
      <w:jc w:val="left"/>
    </w:pPr>
    <w:rPr>
      <w:rFonts w:ascii="Times New Roman" w:hAnsi="Times New Roman" w:cs="Times New Roman"/>
      <w:color w:val="auto"/>
      <w:sz w:val="24"/>
      <w:szCs w:val="24"/>
      <w:lang w:bidi="ar-SA"/>
    </w:rPr>
  </w:style>
  <w:style w:type="paragraph" w:customStyle="1" w:styleId="ReferenceLine">
    <w:name w:val="Reference Line"/>
    <w:basedOn w:val="BodyText"/>
    <w:uiPriority w:val="99"/>
    <w:rsid w:val="00672A56"/>
    <w:pPr>
      <w:overflowPunct w:val="0"/>
      <w:autoSpaceDE w:val="0"/>
      <w:autoSpaceDN w:val="0"/>
      <w:adjustRightInd w:val="0"/>
      <w:spacing w:line="360" w:lineRule="auto"/>
      <w:textAlignment w:val="baseline"/>
    </w:pPr>
    <w:rPr>
      <w:rFonts w:ascii="Times New Roman" w:hAnsi="Times New Roman" w:cs="Times New Roman"/>
      <w:color w:val="auto"/>
      <w:sz w:val="24"/>
      <w:szCs w:val="24"/>
      <w:lang w:eastAsia="he-IL"/>
    </w:rPr>
  </w:style>
  <w:style w:type="paragraph" w:styleId="BodyTextFirstIndent">
    <w:name w:val="Body Text First Indent"/>
    <w:basedOn w:val="BodyText"/>
    <w:link w:val="BodyTextFirstIndentChar"/>
    <w:uiPriority w:val="99"/>
    <w:rsid w:val="00672A56"/>
    <w:pPr>
      <w:spacing w:after="120"/>
      <w:ind w:firstLine="210"/>
      <w:jc w:val="left"/>
    </w:pPr>
    <w:rPr>
      <w:rFonts w:ascii="Times New Roman" w:hAnsi="Times New Roman" w:cs="Times New Roman"/>
      <w:color w:val="auto"/>
      <w:sz w:val="24"/>
      <w:szCs w:val="24"/>
      <w:lang w:eastAsia="x-none" w:bidi="ar-SA"/>
    </w:rPr>
  </w:style>
  <w:style w:type="character" w:customStyle="1" w:styleId="BodyTextFirstIndentChar">
    <w:name w:val="Body Text First Indent Char"/>
    <w:basedOn w:val="BodyTextChar"/>
    <w:link w:val="BodyTextFirstIndent"/>
    <w:uiPriority w:val="99"/>
    <w:rsid w:val="00672A56"/>
    <w:rPr>
      <w:rFonts w:ascii="Times New Roman" w:eastAsia="Times New Roman" w:hAnsi="Times New Roman" w:cs="Times New Roman"/>
      <w:color w:val="000000"/>
      <w:sz w:val="24"/>
      <w:szCs w:val="24"/>
      <w:lang w:val="en-US" w:eastAsia="x-none" w:bidi="ar-SA"/>
    </w:rPr>
  </w:style>
  <w:style w:type="character" w:customStyle="1" w:styleId="1f">
    <w:name w:val="גוף טקסט תו1"/>
    <w:rsid w:val="00672A56"/>
    <w:rPr>
      <w:rFonts w:cs="David"/>
      <w:snapToGrid w:val="0"/>
      <w:sz w:val="24"/>
      <w:szCs w:val="18"/>
      <w:lang w:eastAsia="he-IL"/>
    </w:rPr>
  </w:style>
  <w:style w:type="paragraph" w:styleId="NoteHeading">
    <w:name w:val="Note Heading"/>
    <w:basedOn w:val="Normal"/>
    <w:next w:val="Normal"/>
    <w:link w:val="NoteHeadingChar"/>
    <w:uiPriority w:val="99"/>
    <w:rsid w:val="00672A56"/>
    <w:pPr>
      <w:jc w:val="left"/>
    </w:pPr>
    <w:rPr>
      <w:rFonts w:ascii="Times New Roman" w:hAnsi="Times New Roman" w:cs="Times New Roman"/>
      <w:color w:val="auto"/>
      <w:sz w:val="24"/>
      <w:szCs w:val="24"/>
      <w:lang w:eastAsia="x-none" w:bidi="ar-SA"/>
    </w:rPr>
  </w:style>
  <w:style w:type="character" w:customStyle="1" w:styleId="NoteHeadingChar">
    <w:name w:val="Note Heading Char"/>
    <w:basedOn w:val="DefaultParagraphFont"/>
    <w:link w:val="NoteHeading"/>
    <w:uiPriority w:val="99"/>
    <w:rsid w:val="00672A56"/>
    <w:rPr>
      <w:rFonts w:ascii="Times New Roman" w:eastAsia="Times New Roman" w:hAnsi="Times New Roman" w:cs="Times New Roman"/>
      <w:sz w:val="24"/>
      <w:szCs w:val="24"/>
      <w:lang w:val="en-US" w:eastAsia="x-none" w:bidi="ar-SA"/>
    </w:rPr>
  </w:style>
  <w:style w:type="paragraph" w:customStyle="1" w:styleId="1f0">
    <w:name w:val="גוף טקסט1"/>
    <w:uiPriority w:val="99"/>
    <w:rsid w:val="00672A56"/>
    <w:pPr>
      <w:tabs>
        <w:tab w:val="left" w:pos="397"/>
      </w:tabs>
      <w:autoSpaceDE w:val="0"/>
      <w:autoSpaceDN w:val="0"/>
      <w:adjustRightInd w:val="0"/>
      <w:spacing w:after="0" w:line="260" w:lineRule="atLeast"/>
    </w:pPr>
    <w:rPr>
      <w:rFonts w:ascii="Univers 45 Light" w:eastAsia="Times New Roman" w:hAnsi="Univers 45 Light" w:cs="Univers 45 Light"/>
      <w:color w:val="000000"/>
      <w:sz w:val="20"/>
      <w:szCs w:val="20"/>
      <w:lang w:eastAsia="en-NZ" w:bidi="ar-SA"/>
    </w:rPr>
  </w:style>
  <w:style w:type="character" w:customStyle="1" w:styleId="2Char">
    <w:name w:val="באור ר2 Char"/>
    <w:link w:val="2b"/>
    <w:locked/>
    <w:rsid w:val="00672A56"/>
    <w:rPr>
      <w:rFonts w:ascii="Univers LT Pro 45 Light" w:hAnsi="Univers LT Pro 45 Light"/>
      <w:sz w:val="18"/>
    </w:rPr>
  </w:style>
  <w:style w:type="paragraph" w:customStyle="1" w:styleId="2b">
    <w:name w:val="באור ר2"/>
    <w:basedOn w:val="Normal"/>
    <w:link w:val="2Char"/>
    <w:rsid w:val="00672A56"/>
    <w:pPr>
      <w:spacing w:line="280" w:lineRule="atLeast"/>
      <w:ind w:left="601" w:right="-79" w:hanging="340"/>
    </w:pPr>
    <w:rPr>
      <w:rFonts w:ascii="Univers LT Pro 45 Light" w:eastAsiaTheme="minorHAnsi" w:hAnsi="Univers LT Pro 45 Light" w:cstheme="minorBidi"/>
      <w:color w:val="auto"/>
      <w:szCs w:val="22"/>
    </w:rPr>
  </w:style>
  <w:style w:type="paragraph" w:customStyle="1" w:styleId="-20">
    <w:name w:val="מקו-2"/>
    <w:basedOn w:val="-2-"/>
    <w:link w:val="-21"/>
    <w:rsid w:val="00672A56"/>
    <w:pPr>
      <w:numPr>
        <w:numId w:val="0"/>
      </w:numPr>
      <w:ind w:left="360" w:hanging="360"/>
    </w:pPr>
  </w:style>
  <w:style w:type="character" w:customStyle="1" w:styleId="-2-0">
    <w:name w:val="מקו-2- תו"/>
    <w:basedOn w:val="28"/>
    <w:link w:val="-2-"/>
    <w:rsid w:val="00672A56"/>
    <w:rPr>
      <w:rFonts w:ascii="Arial" w:eastAsia="Times New Roman" w:hAnsi="Arial" w:cs="Arial"/>
      <w:sz w:val="18"/>
      <w:szCs w:val="18"/>
    </w:rPr>
  </w:style>
  <w:style w:type="paragraph" w:customStyle="1" w:styleId="1f1">
    <w:name w:val="סעיף1)"/>
    <w:basedOn w:val="Normal"/>
    <w:link w:val="1f2"/>
    <w:rsid w:val="00672A56"/>
    <w:pPr>
      <w:tabs>
        <w:tab w:val="left" w:pos="548"/>
        <w:tab w:val="left" w:pos="1108"/>
      </w:tabs>
      <w:spacing w:after="120" w:line="340" w:lineRule="exact"/>
      <w:ind w:left="340" w:hanging="340"/>
    </w:pPr>
    <w:rPr>
      <w:rFonts w:cstheme="minorBidi"/>
      <w:noProof/>
      <w:color w:val="auto"/>
      <w:szCs w:val="18"/>
      <w:lang w:eastAsia="he-IL"/>
    </w:rPr>
  </w:style>
  <w:style w:type="character" w:customStyle="1" w:styleId="-21">
    <w:name w:val="מקו-2 תו"/>
    <w:basedOn w:val="-2-0"/>
    <w:link w:val="-20"/>
    <w:rsid w:val="00672A56"/>
    <w:rPr>
      <w:rFonts w:ascii="Arial" w:eastAsia="Times New Roman" w:hAnsi="Arial" w:cs="Arial"/>
      <w:sz w:val="18"/>
      <w:szCs w:val="18"/>
    </w:rPr>
  </w:style>
  <w:style w:type="character" w:customStyle="1" w:styleId="1f2">
    <w:name w:val="סעיף1) תו"/>
    <w:basedOn w:val="DefaultParagraphFont"/>
    <w:link w:val="1f1"/>
    <w:rsid w:val="00672A56"/>
    <w:rPr>
      <w:rFonts w:ascii="Arial" w:eastAsia="Times New Roman" w:hAnsi="Arial"/>
      <w:noProof/>
      <w:sz w:val="18"/>
      <w:szCs w:val="18"/>
      <w:lang w:eastAsia="he-IL"/>
    </w:rPr>
  </w:style>
  <w:style w:type="paragraph" w:customStyle="1" w:styleId="3b">
    <w:name w:val="פיסקת רשימה3"/>
    <w:basedOn w:val="Normal"/>
    <w:uiPriority w:val="99"/>
    <w:rsid w:val="00672A56"/>
    <w:pPr>
      <w:widowControl w:val="0"/>
      <w:overflowPunct w:val="0"/>
      <w:autoSpaceDE w:val="0"/>
      <w:autoSpaceDN w:val="0"/>
      <w:adjustRightInd w:val="0"/>
      <w:ind w:left="720"/>
      <w:jc w:val="left"/>
      <w:textAlignment w:val="baseline"/>
    </w:pPr>
    <w:rPr>
      <w:rFonts w:ascii="Times New Roman" w:hAnsi="Times New Roman" w:cs="David"/>
      <w:color w:val="auto"/>
      <w:sz w:val="22"/>
      <w:szCs w:val="22"/>
    </w:rPr>
  </w:style>
  <w:style w:type="character" w:customStyle="1" w:styleId="121">
    <w:name w:val="כותרת 1 תו2"/>
    <w:aliases w:val="H2 תו1,כותרת 1 תו1 תו1,כותרת 1 תו תו תו1,כותרת 1 תו תו תו תו תו תו תו תו תו תו תו תו תו1,כותרת 1 תו תו תו תו תו תו תו תו תו תו תו תו תו Char Char Char Char Char Char Char Char Char Char Char Char Char Char Char Char Char Char תו1"/>
    <w:basedOn w:val="DefaultParagraphFont"/>
    <w:rsid w:val="00672A56"/>
    <w:rPr>
      <w:rFonts w:ascii="Calibri Light" w:eastAsia="Times New Roman" w:hAnsi="Calibri Light" w:cs="Times New Roman"/>
      <w:b/>
      <w:bCs/>
      <w:noProof/>
      <w:color w:val="2E74B5"/>
      <w:sz w:val="28"/>
      <w:szCs w:val="28"/>
      <w:lang w:eastAsia="he-IL"/>
    </w:rPr>
  </w:style>
  <w:style w:type="character" w:customStyle="1" w:styleId="411">
    <w:name w:val="כותרת 4 תו1"/>
    <w:aliases w:val="Heading 4 תו1"/>
    <w:basedOn w:val="DefaultParagraphFont"/>
    <w:semiHidden/>
    <w:rsid w:val="00672A56"/>
    <w:rPr>
      <w:rFonts w:ascii="Calibri Light" w:eastAsia="Times New Roman" w:hAnsi="Calibri Light" w:cs="Times New Roman"/>
      <w:b/>
      <w:bCs/>
      <w:i/>
      <w:iCs/>
      <w:noProof/>
      <w:color w:val="5B9BD5"/>
      <w:szCs w:val="24"/>
      <w:lang w:eastAsia="he-IL"/>
    </w:rPr>
  </w:style>
  <w:style w:type="character" w:customStyle="1" w:styleId="510">
    <w:name w:val="כותרת 5 תו1"/>
    <w:aliases w:val="Heading 5 תו1"/>
    <w:basedOn w:val="DefaultParagraphFont"/>
    <w:semiHidden/>
    <w:rsid w:val="00672A56"/>
    <w:rPr>
      <w:rFonts w:ascii="Calibri Light" w:eastAsia="Times New Roman" w:hAnsi="Calibri Light" w:cs="Times New Roman"/>
      <w:noProof/>
      <w:color w:val="1F4D78"/>
      <w:szCs w:val="24"/>
      <w:lang w:eastAsia="he-IL"/>
    </w:rPr>
  </w:style>
  <w:style w:type="character" w:customStyle="1" w:styleId="61">
    <w:name w:val="כותרת 6 תו1"/>
    <w:aliases w:val="Heading 6 תו1"/>
    <w:basedOn w:val="DefaultParagraphFont"/>
    <w:semiHidden/>
    <w:rsid w:val="00672A56"/>
    <w:rPr>
      <w:rFonts w:ascii="Calibri Light" w:eastAsia="Times New Roman" w:hAnsi="Calibri Light" w:cs="Times New Roman"/>
      <w:i/>
      <w:iCs/>
      <w:noProof/>
      <w:color w:val="1F4D78"/>
      <w:szCs w:val="24"/>
      <w:lang w:eastAsia="he-IL"/>
    </w:rPr>
  </w:style>
  <w:style w:type="character" w:customStyle="1" w:styleId="71">
    <w:name w:val="כותרת 7 תו1"/>
    <w:aliases w:val="Heading 7 תו1"/>
    <w:basedOn w:val="DefaultParagraphFont"/>
    <w:semiHidden/>
    <w:rsid w:val="00672A56"/>
    <w:rPr>
      <w:rFonts w:ascii="Calibri Light" w:eastAsia="Times New Roman" w:hAnsi="Calibri Light" w:cs="Times New Roman"/>
      <w:i/>
      <w:iCs/>
      <w:noProof/>
      <w:color w:val="404040"/>
      <w:szCs w:val="24"/>
      <w:lang w:eastAsia="he-IL"/>
    </w:rPr>
  </w:style>
  <w:style w:type="character" w:customStyle="1" w:styleId="81">
    <w:name w:val="כותרת 8 תו1"/>
    <w:aliases w:val="Heading 8 תו1"/>
    <w:basedOn w:val="DefaultParagraphFont"/>
    <w:semiHidden/>
    <w:rsid w:val="00672A56"/>
    <w:rPr>
      <w:rFonts w:ascii="Calibri Light" w:eastAsia="Times New Roman" w:hAnsi="Calibri Light" w:cs="Times New Roman"/>
      <w:noProof/>
      <w:color w:val="404040"/>
      <w:lang w:eastAsia="he-IL"/>
    </w:rPr>
  </w:style>
  <w:style w:type="character" w:customStyle="1" w:styleId="91">
    <w:name w:val="כותרת 9 תו1"/>
    <w:aliases w:val="Heading 9 תו1"/>
    <w:basedOn w:val="DefaultParagraphFont"/>
    <w:semiHidden/>
    <w:rsid w:val="00672A56"/>
    <w:rPr>
      <w:rFonts w:ascii="Calibri Light" w:eastAsia="Times New Roman" w:hAnsi="Calibri Light" w:cs="Times New Roman"/>
      <w:i/>
      <w:iCs/>
      <w:noProof/>
      <w:color w:val="404040"/>
      <w:lang w:eastAsia="he-IL"/>
    </w:rPr>
  </w:style>
  <w:style w:type="character" w:customStyle="1" w:styleId="1f3">
    <w:name w:val="כותרת עליונה תו1"/>
    <w:aliases w:val="Header תו1"/>
    <w:basedOn w:val="DefaultParagraphFont"/>
    <w:semiHidden/>
    <w:rsid w:val="00672A56"/>
    <w:rPr>
      <w:rFonts w:cs="David"/>
      <w:noProof/>
      <w:szCs w:val="24"/>
      <w:lang w:eastAsia="he-IL"/>
    </w:rPr>
  </w:style>
  <w:style w:type="character" w:customStyle="1" w:styleId="1f4">
    <w:name w:val="כותרת תחתונה תו1"/>
    <w:aliases w:val="Footer תו1"/>
    <w:basedOn w:val="DefaultParagraphFont"/>
    <w:uiPriority w:val="99"/>
    <w:semiHidden/>
    <w:rsid w:val="00672A56"/>
    <w:rPr>
      <w:rFonts w:cs="David"/>
      <w:noProof/>
      <w:szCs w:val="24"/>
      <w:lang w:eastAsia="he-IL"/>
    </w:rPr>
  </w:style>
  <w:style w:type="character" w:customStyle="1" w:styleId="1f5">
    <w:name w:val="כניסה בגוף טקסט תו1"/>
    <w:aliases w:val="Body Text Indent תו1"/>
    <w:basedOn w:val="DefaultParagraphFont"/>
    <w:uiPriority w:val="99"/>
    <w:semiHidden/>
    <w:rsid w:val="00672A56"/>
    <w:rPr>
      <w:rFonts w:cs="David"/>
      <w:noProof/>
      <w:szCs w:val="24"/>
      <w:lang w:eastAsia="he-IL"/>
    </w:rPr>
  </w:style>
  <w:style w:type="character" w:customStyle="1" w:styleId="313">
    <w:name w:val="כניסה בגוף טקסט 3 תו1"/>
    <w:aliases w:val="Body Text Indent 3 תו1"/>
    <w:basedOn w:val="DefaultParagraphFont"/>
    <w:semiHidden/>
    <w:rsid w:val="00672A56"/>
    <w:rPr>
      <w:rFonts w:cs="David"/>
      <w:noProof/>
      <w:sz w:val="16"/>
      <w:szCs w:val="16"/>
      <w:lang w:eastAsia="he-IL"/>
    </w:rPr>
  </w:style>
  <w:style w:type="numbering" w:customStyle="1" w:styleId="1110">
    <w:name w:val="ללא רשימה111"/>
    <w:next w:val="NoList"/>
    <w:uiPriority w:val="99"/>
    <w:semiHidden/>
    <w:rsid w:val="00672A56"/>
  </w:style>
  <w:style w:type="character" w:customStyle="1" w:styleId="1f6">
    <w:name w:val="איות1"/>
    <w:basedOn w:val="Heading4Char"/>
    <w:rsid w:val="00672A56"/>
    <w:rPr>
      <w:rFonts w:ascii="Arial" w:eastAsia="Times New Roman" w:hAnsi="Arial" w:cs="Arial"/>
      <w:b/>
      <w:bCs/>
      <w:noProof/>
      <w:snapToGrid w:val="0"/>
      <w:color w:val="000000"/>
      <w:sz w:val="32"/>
      <w:szCs w:val="22"/>
      <w:u w:val="single"/>
      <w:lang w:eastAsia="he-IL"/>
    </w:rPr>
  </w:style>
  <w:style w:type="table" w:customStyle="1" w:styleId="113">
    <w:name w:val="טבלת רשת1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ללא רשימה12"/>
    <w:next w:val="NoList"/>
    <w:uiPriority w:val="99"/>
    <w:semiHidden/>
    <w:rsid w:val="00672A56"/>
  </w:style>
  <w:style w:type="table" w:customStyle="1" w:styleId="2c">
    <w:name w:val="טבלת רשת2"/>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
    <w:name w:val="ללא רשימה211"/>
    <w:next w:val="NoList"/>
    <w:semiHidden/>
    <w:rsid w:val="00672A56"/>
  </w:style>
  <w:style w:type="table" w:customStyle="1" w:styleId="TableNormal10">
    <w:name w:val="Table Normal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1">
    <w:name w:val="ללא רשימה1111"/>
    <w:next w:val="NoList"/>
    <w:uiPriority w:val="99"/>
    <w:semiHidden/>
    <w:rsid w:val="00672A56"/>
  </w:style>
  <w:style w:type="numbering" w:customStyle="1" w:styleId="131">
    <w:name w:val="ללא רשימה13"/>
    <w:next w:val="NoList"/>
    <w:uiPriority w:val="99"/>
    <w:semiHidden/>
    <w:rsid w:val="00672A56"/>
  </w:style>
  <w:style w:type="table" w:customStyle="1" w:styleId="3c">
    <w:name w:val="טבלת רשת3"/>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ללא רשימה22"/>
    <w:next w:val="NoList"/>
    <w:semiHidden/>
    <w:rsid w:val="00672A56"/>
  </w:style>
  <w:style w:type="table" w:customStyle="1" w:styleId="TableNormal2">
    <w:name w:val="Table Normal2"/>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20">
    <w:name w:val="ללא רשימה112"/>
    <w:next w:val="NoList"/>
    <w:uiPriority w:val="99"/>
    <w:semiHidden/>
    <w:rsid w:val="00672A56"/>
  </w:style>
  <w:style w:type="table" w:customStyle="1" w:styleId="123">
    <w:name w:val="טבלת רשת12"/>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0">
    <w:name w:val="ללא רשימה311"/>
    <w:next w:val="NoList"/>
    <w:uiPriority w:val="99"/>
    <w:semiHidden/>
    <w:unhideWhenUsed/>
    <w:rsid w:val="00672A56"/>
  </w:style>
  <w:style w:type="numbering" w:customStyle="1" w:styleId="1210">
    <w:name w:val="ללא רשימה121"/>
    <w:next w:val="NoList"/>
    <w:uiPriority w:val="99"/>
    <w:semiHidden/>
    <w:rsid w:val="00672A56"/>
  </w:style>
  <w:style w:type="table" w:customStyle="1" w:styleId="3111">
    <w:name w:val="רשימה בטבלה 311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12">
    <w:name w:val="טבלת רשת21"/>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ללא רשימה2111"/>
    <w:next w:val="NoList"/>
    <w:semiHidden/>
    <w:rsid w:val="00672A56"/>
  </w:style>
  <w:style w:type="table" w:customStyle="1" w:styleId="TableNormal11">
    <w:name w:val="Table Normal1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11">
    <w:name w:val="ללא רשימה11111"/>
    <w:next w:val="NoList"/>
    <w:uiPriority w:val="99"/>
    <w:semiHidden/>
    <w:rsid w:val="00672A56"/>
  </w:style>
  <w:style w:type="table" w:customStyle="1" w:styleId="1112">
    <w:name w:val="טבלת רשת11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5">
    <w:name w:val="פיסקת רשימה4"/>
    <w:basedOn w:val="Normal"/>
    <w:rsid w:val="00672A56"/>
    <w:pPr>
      <w:widowControl w:val="0"/>
      <w:overflowPunct w:val="0"/>
      <w:autoSpaceDE w:val="0"/>
      <w:autoSpaceDN w:val="0"/>
      <w:adjustRightInd w:val="0"/>
      <w:ind w:left="720"/>
      <w:jc w:val="left"/>
      <w:textAlignment w:val="baseline"/>
    </w:pPr>
    <w:rPr>
      <w:rFonts w:ascii="Times New Roman" w:hAnsi="Times New Roman" w:cs="David"/>
      <w:color w:val="auto"/>
      <w:sz w:val="22"/>
      <w:szCs w:val="22"/>
    </w:rPr>
  </w:style>
  <w:style w:type="paragraph" w:customStyle="1" w:styleId="2d">
    <w:name w:val="גוף טקסט2"/>
    <w:uiPriority w:val="99"/>
    <w:rsid w:val="00672A56"/>
    <w:pPr>
      <w:tabs>
        <w:tab w:val="left" w:pos="397"/>
      </w:tabs>
      <w:autoSpaceDE w:val="0"/>
      <w:autoSpaceDN w:val="0"/>
      <w:adjustRightInd w:val="0"/>
      <w:spacing w:after="0" w:line="260" w:lineRule="atLeast"/>
    </w:pPr>
    <w:rPr>
      <w:rFonts w:ascii="Univers 45 Light" w:eastAsia="Times New Roman" w:hAnsi="Univers 45 Light" w:cs="Univers 45 Light"/>
      <w:color w:val="000000"/>
      <w:sz w:val="20"/>
      <w:szCs w:val="20"/>
      <w:lang w:eastAsia="en-NZ" w:bidi="ar-SA"/>
    </w:rPr>
  </w:style>
  <w:style w:type="numbering" w:customStyle="1" w:styleId="511">
    <w:name w:val="ללא רשימה51"/>
    <w:next w:val="NoList"/>
    <w:uiPriority w:val="99"/>
    <w:semiHidden/>
    <w:unhideWhenUsed/>
    <w:rsid w:val="00672A56"/>
  </w:style>
  <w:style w:type="numbering" w:customStyle="1" w:styleId="141">
    <w:name w:val="ללא רשימה14"/>
    <w:next w:val="NoList"/>
    <w:uiPriority w:val="99"/>
    <w:semiHidden/>
    <w:rsid w:val="00672A56"/>
  </w:style>
  <w:style w:type="numbering" w:customStyle="1" w:styleId="230">
    <w:name w:val="ללא רשימה23"/>
    <w:next w:val="NoList"/>
    <w:semiHidden/>
    <w:rsid w:val="00672A56"/>
  </w:style>
  <w:style w:type="table" w:customStyle="1" w:styleId="TableNormal3">
    <w:name w:val="Table Normal3"/>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30">
    <w:name w:val="ללא רשימה113"/>
    <w:next w:val="NoList"/>
    <w:uiPriority w:val="99"/>
    <w:semiHidden/>
    <w:rsid w:val="00672A56"/>
  </w:style>
  <w:style w:type="table" w:customStyle="1" w:styleId="132">
    <w:name w:val="טבלת רשת13"/>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
    <w:name w:val="ללא רשימה32"/>
    <w:next w:val="NoList"/>
    <w:uiPriority w:val="99"/>
    <w:semiHidden/>
    <w:unhideWhenUsed/>
    <w:rsid w:val="00672A56"/>
  </w:style>
  <w:style w:type="numbering" w:customStyle="1" w:styleId="1220">
    <w:name w:val="ללא רשימה122"/>
    <w:next w:val="NoList"/>
    <w:uiPriority w:val="99"/>
    <w:semiHidden/>
    <w:rsid w:val="00672A56"/>
  </w:style>
  <w:style w:type="table" w:customStyle="1" w:styleId="3120">
    <w:name w:val="רשימה בטבלה 312"/>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21">
    <w:name w:val="טבלת רשת22"/>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0">
    <w:name w:val="ללא רשימה212"/>
    <w:next w:val="NoList"/>
    <w:semiHidden/>
    <w:rsid w:val="00672A56"/>
  </w:style>
  <w:style w:type="table" w:customStyle="1" w:styleId="TableNormal12">
    <w:name w:val="Table Normal12"/>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20">
    <w:name w:val="ללא רשימה1112"/>
    <w:next w:val="NoList"/>
    <w:uiPriority w:val="99"/>
    <w:semiHidden/>
    <w:rsid w:val="00672A56"/>
  </w:style>
  <w:style w:type="table" w:customStyle="1" w:styleId="1121">
    <w:name w:val="טבלת רשת112"/>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0">
    <w:name w:val="ללא רשימה411"/>
    <w:next w:val="NoList"/>
    <w:uiPriority w:val="99"/>
    <w:semiHidden/>
    <w:unhideWhenUsed/>
    <w:rsid w:val="00672A56"/>
  </w:style>
  <w:style w:type="table" w:customStyle="1" w:styleId="314">
    <w:name w:val="טבלת רשת31"/>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0">
    <w:name w:val="ללא רשימה131"/>
    <w:next w:val="NoList"/>
    <w:uiPriority w:val="99"/>
    <w:semiHidden/>
    <w:unhideWhenUsed/>
    <w:rsid w:val="00672A56"/>
  </w:style>
  <w:style w:type="numbering" w:customStyle="1" w:styleId="11210">
    <w:name w:val="ללא רשימה1121"/>
    <w:next w:val="NoList"/>
    <w:uiPriority w:val="99"/>
    <w:semiHidden/>
    <w:rsid w:val="00672A56"/>
  </w:style>
  <w:style w:type="numbering" w:customStyle="1" w:styleId="2210">
    <w:name w:val="ללא רשימה221"/>
    <w:next w:val="NoList"/>
    <w:semiHidden/>
    <w:rsid w:val="00672A56"/>
  </w:style>
  <w:style w:type="numbering" w:customStyle="1" w:styleId="31110">
    <w:name w:val="ללא רשימה3111"/>
    <w:next w:val="NoList"/>
    <w:uiPriority w:val="99"/>
    <w:semiHidden/>
    <w:unhideWhenUsed/>
    <w:rsid w:val="00672A56"/>
  </w:style>
  <w:style w:type="numbering" w:customStyle="1" w:styleId="1211">
    <w:name w:val="ללא רשימה1211"/>
    <w:next w:val="NoList"/>
    <w:uiPriority w:val="99"/>
    <w:semiHidden/>
    <w:rsid w:val="00672A56"/>
  </w:style>
  <w:style w:type="numbering" w:customStyle="1" w:styleId="21111">
    <w:name w:val="ללא רשימה21111"/>
    <w:next w:val="NoList"/>
    <w:semiHidden/>
    <w:rsid w:val="00672A56"/>
  </w:style>
  <w:style w:type="numbering" w:customStyle="1" w:styleId="111111">
    <w:name w:val="ללא רשימה111111"/>
    <w:next w:val="NoList"/>
    <w:uiPriority w:val="99"/>
    <w:semiHidden/>
    <w:rsid w:val="00672A56"/>
  </w:style>
  <w:style w:type="numbering" w:customStyle="1" w:styleId="4111">
    <w:name w:val="ללא רשימה4111"/>
    <w:next w:val="NoList"/>
    <w:uiPriority w:val="99"/>
    <w:semiHidden/>
    <w:unhideWhenUsed/>
    <w:rsid w:val="00672A56"/>
  </w:style>
  <w:style w:type="numbering" w:customStyle="1" w:styleId="1311">
    <w:name w:val="ללא רשימה1311"/>
    <w:next w:val="NoList"/>
    <w:uiPriority w:val="99"/>
    <w:semiHidden/>
    <w:rsid w:val="00672A56"/>
  </w:style>
  <w:style w:type="table" w:customStyle="1" w:styleId="3211">
    <w:name w:val="רשימה בטבלה 321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112">
    <w:name w:val="טבלת רשת311"/>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1">
    <w:name w:val="ללא רשימה2211"/>
    <w:next w:val="NoList"/>
    <w:semiHidden/>
    <w:rsid w:val="00672A56"/>
  </w:style>
  <w:style w:type="table" w:customStyle="1" w:styleId="TableNormal21">
    <w:name w:val="Table Normal2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211">
    <w:name w:val="ללא רשימה11211"/>
    <w:next w:val="NoList"/>
    <w:uiPriority w:val="99"/>
    <w:semiHidden/>
    <w:rsid w:val="00672A56"/>
  </w:style>
  <w:style w:type="table" w:customStyle="1" w:styleId="1212">
    <w:name w:val="טבלת רשת12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1">
    <w:name w:val="ללא רשימה31111"/>
    <w:next w:val="NoList"/>
    <w:uiPriority w:val="99"/>
    <w:semiHidden/>
    <w:unhideWhenUsed/>
    <w:rsid w:val="00672A56"/>
  </w:style>
  <w:style w:type="numbering" w:customStyle="1" w:styleId="12111">
    <w:name w:val="ללא רשימה12111"/>
    <w:next w:val="NoList"/>
    <w:uiPriority w:val="99"/>
    <w:semiHidden/>
    <w:rsid w:val="00672A56"/>
  </w:style>
  <w:style w:type="table" w:customStyle="1" w:styleId="2112">
    <w:name w:val="טבלת רשת211"/>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1">
    <w:name w:val="ללא רשימה211111"/>
    <w:next w:val="NoList"/>
    <w:semiHidden/>
    <w:rsid w:val="00672A56"/>
  </w:style>
  <w:style w:type="table" w:customStyle="1" w:styleId="TableNormal111">
    <w:name w:val="Table Normal11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1111">
    <w:name w:val="ללא רשימה1111111"/>
    <w:next w:val="NoList"/>
    <w:uiPriority w:val="99"/>
    <w:semiHidden/>
    <w:rsid w:val="00672A56"/>
  </w:style>
  <w:style w:type="table" w:customStyle="1" w:styleId="11110">
    <w:name w:val="טבלת רשת111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ללא רשימה6"/>
    <w:next w:val="NoList"/>
    <w:uiPriority w:val="99"/>
    <w:semiHidden/>
    <w:unhideWhenUsed/>
    <w:rsid w:val="00672A56"/>
  </w:style>
  <w:style w:type="table" w:customStyle="1" w:styleId="53">
    <w:name w:val="טבלת רשת5"/>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ללא רשימה15"/>
    <w:next w:val="NoList"/>
    <w:uiPriority w:val="99"/>
    <w:semiHidden/>
    <w:unhideWhenUsed/>
    <w:rsid w:val="00672A56"/>
  </w:style>
  <w:style w:type="numbering" w:customStyle="1" w:styleId="114">
    <w:name w:val="ללא רשימה114"/>
    <w:next w:val="NoList"/>
    <w:uiPriority w:val="99"/>
    <w:semiHidden/>
    <w:rsid w:val="00672A56"/>
  </w:style>
  <w:style w:type="table" w:customStyle="1" w:styleId="341">
    <w:name w:val="רשימה בטבלה 34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40">
    <w:name w:val="ללא רשימה24"/>
    <w:next w:val="NoList"/>
    <w:semiHidden/>
    <w:rsid w:val="00672A56"/>
  </w:style>
  <w:style w:type="numbering" w:customStyle="1" w:styleId="330">
    <w:name w:val="ללא רשימה33"/>
    <w:next w:val="NoList"/>
    <w:uiPriority w:val="99"/>
    <w:semiHidden/>
    <w:unhideWhenUsed/>
    <w:rsid w:val="00672A56"/>
  </w:style>
  <w:style w:type="numbering" w:customStyle="1" w:styleId="1230">
    <w:name w:val="ללא רשימה123"/>
    <w:next w:val="NoList"/>
    <w:uiPriority w:val="99"/>
    <w:semiHidden/>
    <w:rsid w:val="00672A56"/>
  </w:style>
  <w:style w:type="table" w:customStyle="1" w:styleId="3130">
    <w:name w:val="רשימה בטבלה 313"/>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13">
    <w:name w:val="ללא רשימה213"/>
    <w:next w:val="NoList"/>
    <w:semiHidden/>
    <w:rsid w:val="00672A56"/>
  </w:style>
  <w:style w:type="numbering" w:customStyle="1" w:styleId="1113">
    <w:name w:val="ללא רשימה1113"/>
    <w:next w:val="NoList"/>
    <w:uiPriority w:val="99"/>
    <w:semiHidden/>
    <w:rsid w:val="00672A56"/>
  </w:style>
  <w:style w:type="numbering" w:customStyle="1" w:styleId="420">
    <w:name w:val="ללא רשימה42"/>
    <w:next w:val="NoList"/>
    <w:uiPriority w:val="99"/>
    <w:semiHidden/>
    <w:unhideWhenUsed/>
    <w:rsid w:val="00672A56"/>
  </w:style>
  <w:style w:type="numbering" w:customStyle="1" w:styleId="1320">
    <w:name w:val="ללא רשימה132"/>
    <w:next w:val="NoList"/>
    <w:uiPriority w:val="99"/>
    <w:semiHidden/>
    <w:rsid w:val="00672A56"/>
  </w:style>
  <w:style w:type="table" w:customStyle="1" w:styleId="3220">
    <w:name w:val="רשימה בטבלה 322"/>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22">
    <w:name w:val="ללא רשימה222"/>
    <w:next w:val="NoList"/>
    <w:semiHidden/>
    <w:rsid w:val="00672A56"/>
  </w:style>
  <w:style w:type="numbering" w:customStyle="1" w:styleId="1122">
    <w:name w:val="ללא רשימה1122"/>
    <w:next w:val="NoList"/>
    <w:uiPriority w:val="99"/>
    <w:semiHidden/>
    <w:rsid w:val="00672A56"/>
  </w:style>
  <w:style w:type="numbering" w:customStyle="1" w:styleId="3121">
    <w:name w:val="ללא רשימה312"/>
    <w:next w:val="NoList"/>
    <w:uiPriority w:val="99"/>
    <w:semiHidden/>
    <w:unhideWhenUsed/>
    <w:rsid w:val="00672A56"/>
  </w:style>
  <w:style w:type="numbering" w:customStyle="1" w:styleId="12120">
    <w:name w:val="ללא רשימה1212"/>
    <w:next w:val="NoList"/>
    <w:uiPriority w:val="99"/>
    <w:semiHidden/>
    <w:rsid w:val="00672A56"/>
  </w:style>
  <w:style w:type="numbering" w:customStyle="1" w:styleId="21120">
    <w:name w:val="ללא רשימה2112"/>
    <w:next w:val="NoList"/>
    <w:semiHidden/>
    <w:rsid w:val="00672A56"/>
  </w:style>
  <w:style w:type="numbering" w:customStyle="1" w:styleId="11112">
    <w:name w:val="ללא רשימה11112"/>
    <w:next w:val="NoList"/>
    <w:uiPriority w:val="99"/>
    <w:semiHidden/>
    <w:rsid w:val="00672A56"/>
  </w:style>
  <w:style w:type="numbering" w:customStyle="1" w:styleId="5110">
    <w:name w:val="ללא רשימה511"/>
    <w:next w:val="NoList"/>
    <w:uiPriority w:val="99"/>
    <w:semiHidden/>
    <w:unhideWhenUsed/>
    <w:rsid w:val="00672A56"/>
  </w:style>
  <w:style w:type="numbering" w:customStyle="1" w:styleId="1410">
    <w:name w:val="ללא רשימה141"/>
    <w:next w:val="NoList"/>
    <w:uiPriority w:val="99"/>
    <w:semiHidden/>
    <w:rsid w:val="00672A56"/>
  </w:style>
  <w:style w:type="numbering" w:customStyle="1" w:styleId="231">
    <w:name w:val="ללא רשימה231"/>
    <w:next w:val="NoList"/>
    <w:semiHidden/>
    <w:rsid w:val="00672A56"/>
  </w:style>
  <w:style w:type="numbering" w:customStyle="1" w:styleId="1131">
    <w:name w:val="ללא רשימה1131"/>
    <w:next w:val="NoList"/>
    <w:uiPriority w:val="99"/>
    <w:semiHidden/>
    <w:rsid w:val="00672A56"/>
  </w:style>
  <w:style w:type="numbering" w:customStyle="1" w:styleId="3210">
    <w:name w:val="ללא רשימה321"/>
    <w:next w:val="NoList"/>
    <w:uiPriority w:val="99"/>
    <w:semiHidden/>
    <w:unhideWhenUsed/>
    <w:rsid w:val="00672A56"/>
  </w:style>
  <w:style w:type="numbering" w:customStyle="1" w:styleId="1221">
    <w:name w:val="ללא רשימה1221"/>
    <w:next w:val="NoList"/>
    <w:uiPriority w:val="99"/>
    <w:semiHidden/>
    <w:rsid w:val="00672A56"/>
  </w:style>
  <w:style w:type="numbering" w:customStyle="1" w:styleId="2121">
    <w:name w:val="ללא רשימה2121"/>
    <w:next w:val="NoList"/>
    <w:semiHidden/>
    <w:rsid w:val="00672A56"/>
  </w:style>
  <w:style w:type="numbering" w:customStyle="1" w:styleId="11121">
    <w:name w:val="ללא רשימה11121"/>
    <w:next w:val="NoList"/>
    <w:uiPriority w:val="99"/>
    <w:semiHidden/>
    <w:rsid w:val="00672A56"/>
  </w:style>
  <w:style w:type="numbering" w:customStyle="1" w:styleId="412">
    <w:name w:val="ללא רשימה412"/>
    <w:next w:val="NoList"/>
    <w:uiPriority w:val="99"/>
    <w:semiHidden/>
    <w:unhideWhenUsed/>
    <w:rsid w:val="00672A56"/>
  </w:style>
  <w:style w:type="numbering" w:customStyle="1" w:styleId="1312">
    <w:name w:val="ללא רשימה1312"/>
    <w:next w:val="NoList"/>
    <w:uiPriority w:val="99"/>
    <w:semiHidden/>
    <w:unhideWhenUsed/>
    <w:rsid w:val="00672A56"/>
  </w:style>
  <w:style w:type="numbering" w:customStyle="1" w:styleId="11212">
    <w:name w:val="ללא רשימה11212"/>
    <w:next w:val="NoList"/>
    <w:uiPriority w:val="99"/>
    <w:semiHidden/>
    <w:rsid w:val="00672A56"/>
  </w:style>
  <w:style w:type="numbering" w:customStyle="1" w:styleId="2212">
    <w:name w:val="ללא רשימה2212"/>
    <w:next w:val="NoList"/>
    <w:semiHidden/>
    <w:rsid w:val="00672A56"/>
  </w:style>
  <w:style w:type="numbering" w:customStyle="1" w:styleId="31120">
    <w:name w:val="ללא רשימה3112"/>
    <w:next w:val="NoList"/>
    <w:uiPriority w:val="99"/>
    <w:semiHidden/>
    <w:unhideWhenUsed/>
    <w:rsid w:val="00672A56"/>
  </w:style>
  <w:style w:type="numbering" w:customStyle="1" w:styleId="12112">
    <w:name w:val="ללא רשימה12112"/>
    <w:next w:val="NoList"/>
    <w:uiPriority w:val="99"/>
    <w:semiHidden/>
    <w:rsid w:val="00672A56"/>
  </w:style>
  <w:style w:type="numbering" w:customStyle="1" w:styleId="21112">
    <w:name w:val="ללא רשימה21112"/>
    <w:next w:val="NoList"/>
    <w:semiHidden/>
    <w:rsid w:val="00672A56"/>
  </w:style>
  <w:style w:type="numbering" w:customStyle="1" w:styleId="111112">
    <w:name w:val="ללא רשימה111112"/>
    <w:next w:val="NoList"/>
    <w:uiPriority w:val="99"/>
    <w:semiHidden/>
    <w:rsid w:val="00672A56"/>
  </w:style>
  <w:style w:type="numbering" w:customStyle="1" w:styleId="41111">
    <w:name w:val="ללא רשימה41111"/>
    <w:next w:val="NoList"/>
    <w:uiPriority w:val="99"/>
    <w:semiHidden/>
    <w:unhideWhenUsed/>
    <w:rsid w:val="00672A56"/>
  </w:style>
  <w:style w:type="numbering" w:customStyle="1" w:styleId="13111">
    <w:name w:val="ללא רשימה13111"/>
    <w:next w:val="NoList"/>
    <w:uiPriority w:val="99"/>
    <w:semiHidden/>
    <w:rsid w:val="00672A56"/>
  </w:style>
  <w:style w:type="numbering" w:customStyle="1" w:styleId="22111">
    <w:name w:val="ללא רשימה22111"/>
    <w:next w:val="NoList"/>
    <w:semiHidden/>
    <w:rsid w:val="00672A56"/>
  </w:style>
  <w:style w:type="numbering" w:customStyle="1" w:styleId="112111">
    <w:name w:val="ללא רשימה112111"/>
    <w:next w:val="NoList"/>
    <w:uiPriority w:val="99"/>
    <w:semiHidden/>
    <w:rsid w:val="00672A56"/>
  </w:style>
  <w:style w:type="numbering" w:customStyle="1" w:styleId="311111">
    <w:name w:val="ללא רשימה311111"/>
    <w:next w:val="NoList"/>
    <w:uiPriority w:val="99"/>
    <w:semiHidden/>
    <w:unhideWhenUsed/>
    <w:rsid w:val="00672A56"/>
  </w:style>
  <w:style w:type="numbering" w:customStyle="1" w:styleId="121111">
    <w:name w:val="ללא רשימה121111"/>
    <w:next w:val="NoList"/>
    <w:uiPriority w:val="99"/>
    <w:semiHidden/>
    <w:rsid w:val="00672A56"/>
  </w:style>
  <w:style w:type="numbering" w:customStyle="1" w:styleId="2111111">
    <w:name w:val="ללא רשימה2111111"/>
    <w:next w:val="NoList"/>
    <w:semiHidden/>
    <w:rsid w:val="00672A56"/>
  </w:style>
  <w:style w:type="numbering" w:customStyle="1" w:styleId="11111111">
    <w:name w:val="ללא רשימה11111111"/>
    <w:next w:val="NoList"/>
    <w:uiPriority w:val="99"/>
    <w:semiHidden/>
    <w:rsid w:val="00672A56"/>
  </w:style>
  <w:style w:type="numbering" w:customStyle="1" w:styleId="70">
    <w:name w:val="ללא רשימה7"/>
    <w:next w:val="NoList"/>
    <w:uiPriority w:val="99"/>
    <w:semiHidden/>
    <w:unhideWhenUsed/>
    <w:rsid w:val="00672A56"/>
  </w:style>
  <w:style w:type="table" w:customStyle="1" w:styleId="63">
    <w:name w:val="טבלת רשת6"/>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0">
    <w:name w:val="ללא רשימה16"/>
    <w:next w:val="NoList"/>
    <w:uiPriority w:val="99"/>
    <w:semiHidden/>
    <w:unhideWhenUsed/>
    <w:rsid w:val="00672A56"/>
  </w:style>
  <w:style w:type="numbering" w:customStyle="1" w:styleId="115">
    <w:name w:val="ללא רשימה115"/>
    <w:next w:val="NoList"/>
    <w:uiPriority w:val="99"/>
    <w:semiHidden/>
    <w:rsid w:val="00672A56"/>
  </w:style>
  <w:style w:type="table" w:customStyle="1" w:styleId="350">
    <w:name w:val="רשימה בטבלה 35"/>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50">
    <w:name w:val="ללא רשימה25"/>
    <w:next w:val="NoList"/>
    <w:semiHidden/>
    <w:rsid w:val="00672A56"/>
  </w:style>
  <w:style w:type="numbering" w:customStyle="1" w:styleId="342">
    <w:name w:val="ללא רשימה34"/>
    <w:next w:val="NoList"/>
    <w:uiPriority w:val="99"/>
    <w:semiHidden/>
    <w:unhideWhenUsed/>
    <w:rsid w:val="00672A56"/>
  </w:style>
  <w:style w:type="numbering" w:customStyle="1" w:styleId="124">
    <w:name w:val="ללא רשימה124"/>
    <w:next w:val="NoList"/>
    <w:uiPriority w:val="99"/>
    <w:semiHidden/>
    <w:rsid w:val="00672A56"/>
  </w:style>
  <w:style w:type="table" w:customStyle="1" w:styleId="3140">
    <w:name w:val="רשימה בטבלה 314"/>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14">
    <w:name w:val="ללא רשימה214"/>
    <w:next w:val="NoList"/>
    <w:semiHidden/>
    <w:rsid w:val="00672A56"/>
  </w:style>
  <w:style w:type="numbering" w:customStyle="1" w:styleId="1114">
    <w:name w:val="ללא רשימה1114"/>
    <w:next w:val="NoList"/>
    <w:uiPriority w:val="99"/>
    <w:semiHidden/>
    <w:rsid w:val="00672A56"/>
  </w:style>
  <w:style w:type="numbering" w:customStyle="1" w:styleId="430">
    <w:name w:val="ללא רשימה43"/>
    <w:next w:val="NoList"/>
    <w:uiPriority w:val="99"/>
    <w:semiHidden/>
    <w:unhideWhenUsed/>
    <w:rsid w:val="00672A56"/>
  </w:style>
  <w:style w:type="numbering" w:customStyle="1" w:styleId="133">
    <w:name w:val="ללא רשימה133"/>
    <w:next w:val="NoList"/>
    <w:uiPriority w:val="99"/>
    <w:semiHidden/>
    <w:rsid w:val="00672A56"/>
  </w:style>
  <w:style w:type="table" w:customStyle="1" w:styleId="323">
    <w:name w:val="רשימה בטבלה 323"/>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23">
    <w:name w:val="ללא רשימה223"/>
    <w:next w:val="NoList"/>
    <w:semiHidden/>
    <w:rsid w:val="00672A56"/>
  </w:style>
  <w:style w:type="numbering" w:customStyle="1" w:styleId="1123">
    <w:name w:val="ללא רשימה1123"/>
    <w:next w:val="NoList"/>
    <w:uiPriority w:val="99"/>
    <w:semiHidden/>
    <w:rsid w:val="00672A56"/>
  </w:style>
  <w:style w:type="numbering" w:customStyle="1" w:styleId="3131">
    <w:name w:val="ללא רשימה313"/>
    <w:next w:val="NoList"/>
    <w:uiPriority w:val="99"/>
    <w:semiHidden/>
    <w:unhideWhenUsed/>
    <w:rsid w:val="00672A56"/>
  </w:style>
  <w:style w:type="numbering" w:customStyle="1" w:styleId="1213">
    <w:name w:val="ללא רשימה1213"/>
    <w:next w:val="NoList"/>
    <w:uiPriority w:val="99"/>
    <w:semiHidden/>
    <w:rsid w:val="00672A56"/>
  </w:style>
  <w:style w:type="numbering" w:customStyle="1" w:styleId="2113">
    <w:name w:val="ללא רשימה2113"/>
    <w:next w:val="NoList"/>
    <w:semiHidden/>
    <w:rsid w:val="00672A56"/>
  </w:style>
  <w:style w:type="numbering" w:customStyle="1" w:styleId="11113">
    <w:name w:val="ללא רשימה11113"/>
    <w:next w:val="NoList"/>
    <w:uiPriority w:val="99"/>
    <w:semiHidden/>
    <w:rsid w:val="00672A56"/>
  </w:style>
  <w:style w:type="numbering" w:customStyle="1" w:styleId="520">
    <w:name w:val="ללא רשימה52"/>
    <w:next w:val="NoList"/>
    <w:uiPriority w:val="99"/>
    <w:semiHidden/>
    <w:unhideWhenUsed/>
    <w:rsid w:val="00672A56"/>
  </w:style>
  <w:style w:type="numbering" w:customStyle="1" w:styleId="142">
    <w:name w:val="ללא רשימה142"/>
    <w:next w:val="NoList"/>
    <w:uiPriority w:val="99"/>
    <w:semiHidden/>
    <w:rsid w:val="00672A56"/>
  </w:style>
  <w:style w:type="numbering" w:customStyle="1" w:styleId="232">
    <w:name w:val="ללא רשימה232"/>
    <w:next w:val="NoList"/>
    <w:semiHidden/>
    <w:rsid w:val="00672A56"/>
  </w:style>
  <w:style w:type="numbering" w:customStyle="1" w:styleId="1132">
    <w:name w:val="ללא רשימה1132"/>
    <w:next w:val="NoList"/>
    <w:uiPriority w:val="99"/>
    <w:semiHidden/>
    <w:rsid w:val="00672A56"/>
  </w:style>
  <w:style w:type="numbering" w:customStyle="1" w:styleId="3221">
    <w:name w:val="ללא רשימה322"/>
    <w:next w:val="NoList"/>
    <w:uiPriority w:val="99"/>
    <w:semiHidden/>
    <w:unhideWhenUsed/>
    <w:rsid w:val="00672A56"/>
  </w:style>
  <w:style w:type="numbering" w:customStyle="1" w:styleId="1222">
    <w:name w:val="ללא רשימה1222"/>
    <w:next w:val="NoList"/>
    <w:uiPriority w:val="99"/>
    <w:semiHidden/>
    <w:rsid w:val="00672A56"/>
  </w:style>
  <w:style w:type="numbering" w:customStyle="1" w:styleId="2122">
    <w:name w:val="ללא רשימה2122"/>
    <w:next w:val="NoList"/>
    <w:semiHidden/>
    <w:rsid w:val="00672A56"/>
  </w:style>
  <w:style w:type="numbering" w:customStyle="1" w:styleId="11122">
    <w:name w:val="ללא רשימה11122"/>
    <w:next w:val="NoList"/>
    <w:uiPriority w:val="99"/>
    <w:semiHidden/>
    <w:rsid w:val="00672A56"/>
  </w:style>
  <w:style w:type="numbering" w:customStyle="1" w:styleId="413">
    <w:name w:val="ללא רשימה413"/>
    <w:next w:val="NoList"/>
    <w:uiPriority w:val="99"/>
    <w:semiHidden/>
    <w:unhideWhenUsed/>
    <w:rsid w:val="00672A56"/>
  </w:style>
  <w:style w:type="numbering" w:customStyle="1" w:styleId="1313">
    <w:name w:val="ללא רשימה1313"/>
    <w:next w:val="NoList"/>
    <w:uiPriority w:val="99"/>
    <w:semiHidden/>
    <w:unhideWhenUsed/>
    <w:rsid w:val="00672A56"/>
  </w:style>
  <w:style w:type="numbering" w:customStyle="1" w:styleId="11213">
    <w:name w:val="ללא רשימה11213"/>
    <w:next w:val="NoList"/>
    <w:uiPriority w:val="99"/>
    <w:semiHidden/>
    <w:rsid w:val="00672A56"/>
  </w:style>
  <w:style w:type="numbering" w:customStyle="1" w:styleId="2213">
    <w:name w:val="ללא רשימה2213"/>
    <w:next w:val="NoList"/>
    <w:semiHidden/>
    <w:rsid w:val="00672A56"/>
  </w:style>
  <w:style w:type="numbering" w:customStyle="1" w:styleId="3113">
    <w:name w:val="ללא רשימה3113"/>
    <w:next w:val="NoList"/>
    <w:uiPriority w:val="99"/>
    <w:semiHidden/>
    <w:unhideWhenUsed/>
    <w:rsid w:val="00672A56"/>
  </w:style>
  <w:style w:type="numbering" w:customStyle="1" w:styleId="12113">
    <w:name w:val="ללא רשימה12113"/>
    <w:next w:val="NoList"/>
    <w:uiPriority w:val="99"/>
    <w:semiHidden/>
    <w:rsid w:val="00672A56"/>
  </w:style>
  <w:style w:type="numbering" w:customStyle="1" w:styleId="21113">
    <w:name w:val="ללא רשימה21113"/>
    <w:next w:val="NoList"/>
    <w:semiHidden/>
    <w:rsid w:val="00672A56"/>
  </w:style>
  <w:style w:type="numbering" w:customStyle="1" w:styleId="111113">
    <w:name w:val="ללא רשימה111113"/>
    <w:next w:val="NoList"/>
    <w:uiPriority w:val="99"/>
    <w:semiHidden/>
    <w:rsid w:val="00672A56"/>
  </w:style>
  <w:style w:type="numbering" w:customStyle="1" w:styleId="4112">
    <w:name w:val="ללא רשימה4112"/>
    <w:next w:val="NoList"/>
    <w:uiPriority w:val="99"/>
    <w:semiHidden/>
    <w:unhideWhenUsed/>
    <w:rsid w:val="00672A56"/>
  </w:style>
  <w:style w:type="numbering" w:customStyle="1" w:styleId="13112">
    <w:name w:val="ללא רשימה13112"/>
    <w:next w:val="NoList"/>
    <w:uiPriority w:val="99"/>
    <w:semiHidden/>
    <w:rsid w:val="00672A56"/>
  </w:style>
  <w:style w:type="numbering" w:customStyle="1" w:styleId="22112">
    <w:name w:val="ללא רשימה22112"/>
    <w:next w:val="NoList"/>
    <w:semiHidden/>
    <w:rsid w:val="00672A56"/>
  </w:style>
  <w:style w:type="numbering" w:customStyle="1" w:styleId="112112">
    <w:name w:val="ללא רשימה112112"/>
    <w:next w:val="NoList"/>
    <w:uiPriority w:val="99"/>
    <w:semiHidden/>
    <w:rsid w:val="00672A56"/>
  </w:style>
  <w:style w:type="numbering" w:customStyle="1" w:styleId="31112">
    <w:name w:val="ללא רשימה31112"/>
    <w:next w:val="NoList"/>
    <w:uiPriority w:val="99"/>
    <w:semiHidden/>
    <w:unhideWhenUsed/>
    <w:rsid w:val="00672A56"/>
  </w:style>
  <w:style w:type="numbering" w:customStyle="1" w:styleId="121112">
    <w:name w:val="ללא רשימה121112"/>
    <w:next w:val="NoList"/>
    <w:uiPriority w:val="99"/>
    <w:semiHidden/>
    <w:rsid w:val="00672A56"/>
  </w:style>
  <w:style w:type="numbering" w:customStyle="1" w:styleId="211112">
    <w:name w:val="ללא רשימה211112"/>
    <w:next w:val="NoList"/>
    <w:semiHidden/>
    <w:rsid w:val="00672A56"/>
  </w:style>
  <w:style w:type="numbering" w:customStyle="1" w:styleId="1111112">
    <w:name w:val="ללא רשימה1111112"/>
    <w:next w:val="NoList"/>
    <w:uiPriority w:val="99"/>
    <w:semiHidden/>
    <w:rsid w:val="00672A56"/>
  </w:style>
  <w:style w:type="paragraph" w:customStyle="1" w:styleId="11--">
    <w:name w:val="11-לפחות-חדש"/>
    <w:basedOn w:val="Normal"/>
    <w:link w:val="11--0"/>
    <w:rsid w:val="00672A56"/>
    <w:pPr>
      <w:spacing w:before="40" w:line="40" w:lineRule="atLeast"/>
      <w:jc w:val="left"/>
    </w:pPr>
    <w:rPr>
      <w:rFonts w:asciiTheme="minorHAnsi" w:eastAsiaTheme="minorHAnsi" w:hAnsiTheme="minorHAnsi" w:cstheme="minorBidi"/>
      <w:b/>
      <w:bCs/>
      <w:color w:val="FF6600"/>
      <w:sz w:val="22"/>
      <w:szCs w:val="22"/>
    </w:rPr>
  </w:style>
  <w:style w:type="character" w:customStyle="1" w:styleId="11--0">
    <w:name w:val="11-לפחות-חדש תו"/>
    <w:basedOn w:val="DefaultParagraphFont"/>
    <w:link w:val="11--"/>
    <w:rsid w:val="00672A56"/>
    <w:rPr>
      <w:b/>
      <w:bCs/>
      <w:color w:val="FF6600"/>
    </w:rPr>
  </w:style>
  <w:style w:type="paragraph" w:customStyle="1" w:styleId="3d">
    <w:name w:val="סגנון3"/>
    <w:basedOn w:val="Normal"/>
    <w:link w:val="3e"/>
    <w:rsid w:val="00672A56"/>
    <w:pPr>
      <w:spacing w:before="40" w:line="40" w:lineRule="atLeast"/>
      <w:jc w:val="left"/>
    </w:pPr>
    <w:rPr>
      <w:rFonts w:asciiTheme="minorHAnsi" w:eastAsiaTheme="minorHAnsi" w:hAnsiTheme="minorHAnsi" w:cstheme="minorBidi"/>
      <w:b/>
      <w:bCs/>
      <w:color w:val="FF6600"/>
      <w:sz w:val="22"/>
      <w:szCs w:val="22"/>
    </w:rPr>
  </w:style>
  <w:style w:type="character" w:customStyle="1" w:styleId="3e">
    <w:name w:val="סגנון3 תו"/>
    <w:basedOn w:val="DefaultParagraphFont"/>
    <w:link w:val="3d"/>
    <w:rsid w:val="00672A56"/>
    <w:rPr>
      <w:b/>
      <w:bCs/>
      <w:color w:val="FF6600"/>
    </w:rPr>
  </w:style>
  <w:style w:type="numbering" w:customStyle="1" w:styleId="80">
    <w:name w:val="ללא רשימה8"/>
    <w:next w:val="NoList"/>
    <w:uiPriority w:val="99"/>
    <w:semiHidden/>
    <w:unhideWhenUsed/>
    <w:rsid w:val="00672A56"/>
  </w:style>
  <w:style w:type="numbering" w:customStyle="1" w:styleId="170">
    <w:name w:val="ללא רשימה17"/>
    <w:next w:val="NoList"/>
    <w:uiPriority w:val="99"/>
    <w:semiHidden/>
    <w:rsid w:val="00672A56"/>
  </w:style>
  <w:style w:type="table" w:customStyle="1" w:styleId="360">
    <w:name w:val="רשימה בטבלה 36"/>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customStyle="1" w:styleId="72">
    <w:name w:val="טבלת רשת7"/>
    <w:basedOn w:val="TableNormal"/>
    <w:next w:val="TableGrid"/>
    <w:rsid w:val="00672A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ללא רשימה26"/>
    <w:next w:val="NoList"/>
    <w:semiHidden/>
    <w:rsid w:val="00672A56"/>
  </w:style>
  <w:style w:type="table" w:customStyle="1" w:styleId="315">
    <w:name w:val="רשימה בטבלה 315"/>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numbering" w:customStyle="1" w:styleId="351">
    <w:name w:val="ללא רשימה35"/>
    <w:next w:val="NoList"/>
    <w:uiPriority w:val="99"/>
    <w:semiHidden/>
    <w:rsid w:val="00672A56"/>
  </w:style>
  <w:style w:type="table" w:customStyle="1" w:styleId="324">
    <w:name w:val="רשימה בטבלה 324"/>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numbering" w:customStyle="1" w:styleId="440">
    <w:name w:val="ללא רשימה44"/>
    <w:next w:val="NoList"/>
    <w:uiPriority w:val="99"/>
    <w:semiHidden/>
    <w:unhideWhenUsed/>
    <w:rsid w:val="00672A56"/>
  </w:style>
  <w:style w:type="table" w:customStyle="1" w:styleId="125">
    <w:name w:val="רשת טבלה12"/>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רשימה בטבלה 332"/>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12">
    <w:name w:val="רשת בהירה - הדגשה 112"/>
    <w:uiPriority w:val="99"/>
    <w:rsid w:val="00672A56"/>
    <w:pPr>
      <w:spacing w:after="0" w:line="240" w:lineRule="auto"/>
    </w:pPr>
    <w:rPr>
      <w:rFonts w:ascii="Calibri" w:eastAsia="Calibri" w:hAnsi="Calibri" w:cs="Arial"/>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table" w:customStyle="1" w:styleId="TableNormal4">
    <w:name w:val="Table Normal4"/>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6">
    <w:name w:val="ללא רשימה116"/>
    <w:next w:val="NoList"/>
    <w:uiPriority w:val="99"/>
    <w:semiHidden/>
    <w:rsid w:val="00672A56"/>
  </w:style>
  <w:style w:type="table" w:customStyle="1" w:styleId="143">
    <w:name w:val="טבלת רשת14"/>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0">
    <w:name w:val="ללא רשימה125"/>
    <w:next w:val="NoList"/>
    <w:uiPriority w:val="99"/>
    <w:semiHidden/>
    <w:rsid w:val="00672A56"/>
  </w:style>
  <w:style w:type="table" w:customStyle="1" w:styleId="233">
    <w:name w:val="טבלת רשת23"/>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ללא רשימה215"/>
    <w:next w:val="NoList"/>
    <w:semiHidden/>
    <w:rsid w:val="00672A56"/>
  </w:style>
  <w:style w:type="table" w:customStyle="1" w:styleId="TableNormal13">
    <w:name w:val="Table Normal13"/>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5">
    <w:name w:val="ללא רשימה1115"/>
    <w:next w:val="NoList"/>
    <w:uiPriority w:val="99"/>
    <w:semiHidden/>
    <w:rsid w:val="00672A56"/>
  </w:style>
  <w:style w:type="table" w:customStyle="1" w:styleId="1133">
    <w:name w:val="טבלת רשת113"/>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4">
    <w:name w:val="ללא רשימה134"/>
    <w:next w:val="NoList"/>
    <w:uiPriority w:val="99"/>
    <w:semiHidden/>
    <w:rsid w:val="00672A56"/>
  </w:style>
  <w:style w:type="table" w:customStyle="1" w:styleId="325">
    <w:name w:val="טבלת רשת32"/>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4">
    <w:name w:val="ללא רשימה224"/>
    <w:next w:val="NoList"/>
    <w:semiHidden/>
    <w:rsid w:val="00672A56"/>
  </w:style>
  <w:style w:type="table" w:customStyle="1" w:styleId="TableNormal22">
    <w:name w:val="Table Normal22"/>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24">
    <w:name w:val="ללא רשימה1124"/>
    <w:next w:val="NoList"/>
    <w:uiPriority w:val="99"/>
    <w:semiHidden/>
    <w:rsid w:val="00672A56"/>
  </w:style>
  <w:style w:type="table" w:customStyle="1" w:styleId="1223">
    <w:name w:val="טבלת רשת122"/>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41">
    <w:name w:val="ללא רשימה314"/>
    <w:next w:val="NoList"/>
    <w:uiPriority w:val="99"/>
    <w:semiHidden/>
    <w:unhideWhenUsed/>
    <w:rsid w:val="00672A56"/>
  </w:style>
  <w:style w:type="numbering" w:customStyle="1" w:styleId="1214">
    <w:name w:val="ללא רשימה1214"/>
    <w:next w:val="NoList"/>
    <w:uiPriority w:val="99"/>
    <w:semiHidden/>
    <w:rsid w:val="00672A56"/>
  </w:style>
  <w:style w:type="table" w:customStyle="1" w:styleId="31121">
    <w:name w:val="רשימה בטבלה 3112"/>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123">
    <w:name w:val="טבלת רשת212"/>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ללא רשימה2114"/>
    <w:next w:val="NoList"/>
    <w:semiHidden/>
    <w:rsid w:val="00672A56"/>
  </w:style>
  <w:style w:type="table" w:customStyle="1" w:styleId="TableNormal112">
    <w:name w:val="Table Normal112"/>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14">
    <w:name w:val="ללא רשימה11114"/>
    <w:next w:val="NoList"/>
    <w:uiPriority w:val="99"/>
    <w:semiHidden/>
    <w:rsid w:val="00672A56"/>
  </w:style>
  <w:style w:type="table" w:customStyle="1" w:styleId="11123">
    <w:name w:val="טבלת רשת1112"/>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0">
    <w:name w:val="ללא רשימה53"/>
    <w:next w:val="NoList"/>
    <w:uiPriority w:val="99"/>
    <w:semiHidden/>
    <w:unhideWhenUsed/>
    <w:rsid w:val="00672A56"/>
  </w:style>
  <w:style w:type="numbering" w:customStyle="1" w:styleId="1430">
    <w:name w:val="ללא רשימה143"/>
    <w:next w:val="NoList"/>
    <w:uiPriority w:val="99"/>
    <w:semiHidden/>
    <w:rsid w:val="00672A56"/>
  </w:style>
  <w:style w:type="table" w:customStyle="1" w:styleId="414">
    <w:name w:val="טבלת רשת41"/>
    <w:basedOn w:val="TableNormal"/>
    <w:next w:val="TableGrid"/>
    <w:uiPriority w:val="5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0">
    <w:name w:val="ללא רשימה233"/>
    <w:next w:val="NoList"/>
    <w:semiHidden/>
    <w:rsid w:val="00672A56"/>
  </w:style>
  <w:style w:type="table" w:customStyle="1" w:styleId="TableNormal31">
    <w:name w:val="Table Normal3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330">
    <w:name w:val="ללא רשימה1133"/>
    <w:next w:val="NoList"/>
    <w:uiPriority w:val="99"/>
    <w:semiHidden/>
    <w:rsid w:val="00672A56"/>
  </w:style>
  <w:style w:type="table" w:customStyle="1" w:styleId="1314">
    <w:name w:val="טבלת רשת13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30">
    <w:name w:val="ללא רשימה323"/>
    <w:next w:val="NoList"/>
    <w:uiPriority w:val="99"/>
    <w:semiHidden/>
    <w:unhideWhenUsed/>
    <w:rsid w:val="00672A56"/>
  </w:style>
  <w:style w:type="numbering" w:customStyle="1" w:styleId="12230">
    <w:name w:val="ללא רשימה1223"/>
    <w:next w:val="NoList"/>
    <w:uiPriority w:val="99"/>
    <w:semiHidden/>
    <w:rsid w:val="00672A56"/>
  </w:style>
  <w:style w:type="table" w:customStyle="1" w:styleId="31210">
    <w:name w:val="רשימה בטבלה 312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214">
    <w:name w:val="טבלת רשת221"/>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0">
    <w:name w:val="ללא רשימה2123"/>
    <w:next w:val="NoList"/>
    <w:semiHidden/>
    <w:rsid w:val="00672A56"/>
  </w:style>
  <w:style w:type="table" w:customStyle="1" w:styleId="TableNormal121">
    <w:name w:val="Table Normal12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230">
    <w:name w:val="ללא רשימה11123"/>
    <w:next w:val="NoList"/>
    <w:uiPriority w:val="99"/>
    <w:semiHidden/>
    <w:rsid w:val="00672A56"/>
  </w:style>
  <w:style w:type="table" w:customStyle="1" w:styleId="11214">
    <w:name w:val="טבלת רשת112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40">
    <w:name w:val="ללא רשימה414"/>
    <w:next w:val="NoList"/>
    <w:uiPriority w:val="99"/>
    <w:semiHidden/>
    <w:unhideWhenUsed/>
    <w:rsid w:val="00672A56"/>
  </w:style>
  <w:style w:type="table" w:customStyle="1" w:styleId="3122">
    <w:name w:val="טבלת רשת312"/>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40">
    <w:name w:val="ללא רשימה1314"/>
    <w:next w:val="NoList"/>
    <w:uiPriority w:val="99"/>
    <w:semiHidden/>
    <w:unhideWhenUsed/>
    <w:rsid w:val="00672A56"/>
  </w:style>
  <w:style w:type="numbering" w:customStyle="1" w:styleId="112140">
    <w:name w:val="ללא רשימה11214"/>
    <w:next w:val="NoList"/>
    <w:uiPriority w:val="99"/>
    <w:semiHidden/>
    <w:rsid w:val="00672A56"/>
  </w:style>
  <w:style w:type="numbering" w:customStyle="1" w:styleId="22140">
    <w:name w:val="ללא רשימה2214"/>
    <w:next w:val="NoList"/>
    <w:semiHidden/>
    <w:rsid w:val="00672A56"/>
  </w:style>
  <w:style w:type="numbering" w:customStyle="1" w:styleId="3114">
    <w:name w:val="ללא רשימה3114"/>
    <w:next w:val="NoList"/>
    <w:uiPriority w:val="99"/>
    <w:semiHidden/>
    <w:unhideWhenUsed/>
    <w:rsid w:val="00672A56"/>
  </w:style>
  <w:style w:type="numbering" w:customStyle="1" w:styleId="12114">
    <w:name w:val="ללא רשימה12114"/>
    <w:next w:val="NoList"/>
    <w:uiPriority w:val="99"/>
    <w:semiHidden/>
    <w:rsid w:val="00672A56"/>
  </w:style>
  <w:style w:type="numbering" w:customStyle="1" w:styleId="21114">
    <w:name w:val="ללא רשימה21114"/>
    <w:next w:val="NoList"/>
    <w:semiHidden/>
    <w:rsid w:val="00672A56"/>
  </w:style>
  <w:style w:type="numbering" w:customStyle="1" w:styleId="111114">
    <w:name w:val="ללא רשימה111114"/>
    <w:next w:val="NoList"/>
    <w:uiPriority w:val="99"/>
    <w:semiHidden/>
    <w:rsid w:val="00672A56"/>
  </w:style>
  <w:style w:type="numbering" w:customStyle="1" w:styleId="4113">
    <w:name w:val="ללא רשימה4113"/>
    <w:next w:val="NoList"/>
    <w:uiPriority w:val="99"/>
    <w:semiHidden/>
    <w:unhideWhenUsed/>
    <w:rsid w:val="00672A56"/>
  </w:style>
  <w:style w:type="numbering" w:customStyle="1" w:styleId="13113">
    <w:name w:val="ללא רשימה13113"/>
    <w:next w:val="NoList"/>
    <w:uiPriority w:val="99"/>
    <w:semiHidden/>
    <w:rsid w:val="00672A56"/>
  </w:style>
  <w:style w:type="table" w:customStyle="1" w:styleId="3212">
    <w:name w:val="רשימה בטבלה 3212"/>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1113">
    <w:name w:val="טבלת רשת3111"/>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13">
    <w:name w:val="ללא רשימה22113"/>
    <w:next w:val="NoList"/>
    <w:semiHidden/>
    <w:rsid w:val="00672A56"/>
  </w:style>
  <w:style w:type="table" w:customStyle="1" w:styleId="TableNormal211">
    <w:name w:val="Table Normal21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2113">
    <w:name w:val="ללא רשימה112113"/>
    <w:next w:val="NoList"/>
    <w:uiPriority w:val="99"/>
    <w:semiHidden/>
    <w:rsid w:val="00672A56"/>
  </w:style>
  <w:style w:type="table" w:customStyle="1" w:styleId="12110">
    <w:name w:val="טבלת רשת121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30">
    <w:name w:val="ללא רשימה31113"/>
    <w:next w:val="NoList"/>
    <w:uiPriority w:val="99"/>
    <w:semiHidden/>
    <w:unhideWhenUsed/>
    <w:rsid w:val="00672A56"/>
  </w:style>
  <w:style w:type="numbering" w:customStyle="1" w:styleId="121113">
    <w:name w:val="ללא רשימה121113"/>
    <w:next w:val="NoList"/>
    <w:uiPriority w:val="99"/>
    <w:semiHidden/>
    <w:rsid w:val="00672A56"/>
  </w:style>
  <w:style w:type="table" w:customStyle="1" w:styleId="311110">
    <w:name w:val="רשימה בטבלה 3111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1110">
    <w:name w:val="טבלת רשת2111"/>
    <w:basedOn w:val="TableNormal"/>
    <w:next w:val="TableGrid"/>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3">
    <w:name w:val="ללא רשימה211113"/>
    <w:next w:val="NoList"/>
    <w:semiHidden/>
    <w:rsid w:val="00672A56"/>
  </w:style>
  <w:style w:type="table" w:customStyle="1" w:styleId="TableNormal1111">
    <w:name w:val="Table Normal1111"/>
    <w:semiHidden/>
    <w:rsid w:val="00672A56"/>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numbering" w:customStyle="1" w:styleId="1111113">
    <w:name w:val="ללא רשימה1111113"/>
    <w:next w:val="NoList"/>
    <w:uiPriority w:val="99"/>
    <w:semiHidden/>
    <w:rsid w:val="00672A56"/>
  </w:style>
  <w:style w:type="table" w:customStyle="1" w:styleId="111110">
    <w:name w:val="טבלת רשת11111"/>
    <w:basedOn w:val="TableNormal"/>
    <w:next w:val="TableGrid"/>
    <w:uiPriority w:val="39"/>
    <w:rsid w:val="00672A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ללא רשימה61"/>
    <w:next w:val="NoList"/>
    <w:uiPriority w:val="99"/>
    <w:semiHidden/>
    <w:unhideWhenUsed/>
    <w:rsid w:val="00672A56"/>
  </w:style>
  <w:style w:type="table" w:customStyle="1" w:styleId="512">
    <w:name w:val="טבלת רשת51"/>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
    <w:name w:val="ללא רשימה151"/>
    <w:next w:val="NoList"/>
    <w:uiPriority w:val="99"/>
    <w:semiHidden/>
    <w:unhideWhenUsed/>
    <w:rsid w:val="00672A56"/>
  </w:style>
  <w:style w:type="numbering" w:customStyle="1" w:styleId="1141">
    <w:name w:val="ללא רשימה1141"/>
    <w:next w:val="NoList"/>
    <w:uiPriority w:val="99"/>
    <w:semiHidden/>
    <w:rsid w:val="00672A56"/>
  </w:style>
  <w:style w:type="table" w:customStyle="1" w:styleId="3420">
    <w:name w:val="רשימה בטבלה 342"/>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41">
    <w:name w:val="ללא רשימה241"/>
    <w:next w:val="NoList"/>
    <w:semiHidden/>
    <w:rsid w:val="00672A56"/>
  </w:style>
  <w:style w:type="numbering" w:customStyle="1" w:styleId="3310">
    <w:name w:val="ללא רשימה331"/>
    <w:next w:val="NoList"/>
    <w:uiPriority w:val="99"/>
    <w:semiHidden/>
    <w:unhideWhenUsed/>
    <w:rsid w:val="00672A56"/>
  </w:style>
  <w:style w:type="numbering" w:customStyle="1" w:styleId="1231">
    <w:name w:val="ללא רשימה1231"/>
    <w:next w:val="NoList"/>
    <w:uiPriority w:val="99"/>
    <w:semiHidden/>
    <w:rsid w:val="00672A56"/>
  </w:style>
  <w:style w:type="table" w:customStyle="1" w:styleId="31310">
    <w:name w:val="רשימה בטבלה 313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131">
    <w:name w:val="ללא רשימה2131"/>
    <w:next w:val="NoList"/>
    <w:semiHidden/>
    <w:rsid w:val="00672A56"/>
  </w:style>
  <w:style w:type="numbering" w:customStyle="1" w:styleId="11131">
    <w:name w:val="ללא רשימה11131"/>
    <w:next w:val="NoList"/>
    <w:uiPriority w:val="99"/>
    <w:semiHidden/>
    <w:rsid w:val="00672A56"/>
  </w:style>
  <w:style w:type="numbering" w:customStyle="1" w:styleId="421">
    <w:name w:val="ללא רשימה421"/>
    <w:next w:val="NoList"/>
    <w:uiPriority w:val="99"/>
    <w:semiHidden/>
    <w:unhideWhenUsed/>
    <w:rsid w:val="00672A56"/>
  </w:style>
  <w:style w:type="numbering" w:customStyle="1" w:styleId="1321">
    <w:name w:val="ללא רשימה1321"/>
    <w:next w:val="NoList"/>
    <w:uiPriority w:val="99"/>
    <w:semiHidden/>
    <w:rsid w:val="00672A56"/>
  </w:style>
  <w:style w:type="table" w:customStyle="1" w:styleId="32210">
    <w:name w:val="רשימה בטבלה 322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221">
    <w:name w:val="ללא רשימה2221"/>
    <w:next w:val="NoList"/>
    <w:semiHidden/>
    <w:rsid w:val="00672A56"/>
  </w:style>
  <w:style w:type="numbering" w:customStyle="1" w:styleId="11221">
    <w:name w:val="ללא רשימה11221"/>
    <w:next w:val="NoList"/>
    <w:uiPriority w:val="99"/>
    <w:semiHidden/>
    <w:rsid w:val="00672A56"/>
  </w:style>
  <w:style w:type="numbering" w:customStyle="1" w:styleId="31211">
    <w:name w:val="ללא רשימה3121"/>
    <w:next w:val="NoList"/>
    <w:uiPriority w:val="99"/>
    <w:semiHidden/>
    <w:unhideWhenUsed/>
    <w:rsid w:val="00672A56"/>
  </w:style>
  <w:style w:type="numbering" w:customStyle="1" w:styleId="12121">
    <w:name w:val="ללא רשימה12121"/>
    <w:next w:val="NoList"/>
    <w:uiPriority w:val="99"/>
    <w:semiHidden/>
    <w:rsid w:val="00672A56"/>
  </w:style>
  <w:style w:type="numbering" w:customStyle="1" w:styleId="21121">
    <w:name w:val="ללא רשימה21121"/>
    <w:next w:val="NoList"/>
    <w:semiHidden/>
    <w:rsid w:val="00672A56"/>
  </w:style>
  <w:style w:type="numbering" w:customStyle="1" w:styleId="111121">
    <w:name w:val="ללא רשימה111121"/>
    <w:next w:val="NoList"/>
    <w:uiPriority w:val="99"/>
    <w:semiHidden/>
    <w:rsid w:val="00672A56"/>
  </w:style>
  <w:style w:type="numbering" w:customStyle="1" w:styleId="5120">
    <w:name w:val="ללא רשימה512"/>
    <w:next w:val="NoList"/>
    <w:uiPriority w:val="99"/>
    <w:semiHidden/>
    <w:unhideWhenUsed/>
    <w:rsid w:val="00672A56"/>
  </w:style>
  <w:style w:type="numbering" w:customStyle="1" w:styleId="1411">
    <w:name w:val="ללא רשימה1411"/>
    <w:next w:val="NoList"/>
    <w:uiPriority w:val="99"/>
    <w:semiHidden/>
    <w:rsid w:val="00672A56"/>
  </w:style>
  <w:style w:type="numbering" w:customStyle="1" w:styleId="2311">
    <w:name w:val="ללא רשימה2311"/>
    <w:next w:val="NoList"/>
    <w:semiHidden/>
    <w:rsid w:val="00672A56"/>
  </w:style>
  <w:style w:type="numbering" w:customStyle="1" w:styleId="11311">
    <w:name w:val="ללא רשימה11311"/>
    <w:next w:val="NoList"/>
    <w:uiPriority w:val="99"/>
    <w:semiHidden/>
    <w:rsid w:val="00672A56"/>
  </w:style>
  <w:style w:type="numbering" w:customStyle="1" w:styleId="32110">
    <w:name w:val="ללא רשימה3211"/>
    <w:next w:val="NoList"/>
    <w:uiPriority w:val="99"/>
    <w:semiHidden/>
    <w:unhideWhenUsed/>
    <w:rsid w:val="00672A56"/>
  </w:style>
  <w:style w:type="numbering" w:customStyle="1" w:styleId="12211">
    <w:name w:val="ללא רשימה12211"/>
    <w:next w:val="NoList"/>
    <w:uiPriority w:val="99"/>
    <w:semiHidden/>
    <w:rsid w:val="00672A56"/>
  </w:style>
  <w:style w:type="numbering" w:customStyle="1" w:styleId="21211">
    <w:name w:val="ללא רשימה21211"/>
    <w:next w:val="NoList"/>
    <w:semiHidden/>
    <w:rsid w:val="00672A56"/>
  </w:style>
  <w:style w:type="numbering" w:customStyle="1" w:styleId="111211">
    <w:name w:val="ללא רשימה111211"/>
    <w:next w:val="NoList"/>
    <w:uiPriority w:val="99"/>
    <w:semiHidden/>
    <w:rsid w:val="00672A56"/>
  </w:style>
  <w:style w:type="numbering" w:customStyle="1" w:styleId="4121">
    <w:name w:val="ללא רשימה4121"/>
    <w:next w:val="NoList"/>
    <w:uiPriority w:val="99"/>
    <w:semiHidden/>
    <w:unhideWhenUsed/>
    <w:rsid w:val="00672A56"/>
  </w:style>
  <w:style w:type="numbering" w:customStyle="1" w:styleId="13121">
    <w:name w:val="ללא רשימה13121"/>
    <w:next w:val="NoList"/>
    <w:uiPriority w:val="99"/>
    <w:semiHidden/>
    <w:unhideWhenUsed/>
    <w:rsid w:val="00672A56"/>
  </w:style>
  <w:style w:type="numbering" w:customStyle="1" w:styleId="112121">
    <w:name w:val="ללא רשימה112121"/>
    <w:next w:val="NoList"/>
    <w:uiPriority w:val="99"/>
    <w:semiHidden/>
    <w:rsid w:val="00672A56"/>
  </w:style>
  <w:style w:type="numbering" w:customStyle="1" w:styleId="22121">
    <w:name w:val="ללא רשימה22121"/>
    <w:next w:val="NoList"/>
    <w:semiHidden/>
    <w:rsid w:val="00672A56"/>
  </w:style>
  <w:style w:type="numbering" w:customStyle="1" w:styleId="311210">
    <w:name w:val="ללא רשימה31121"/>
    <w:next w:val="NoList"/>
    <w:uiPriority w:val="99"/>
    <w:semiHidden/>
    <w:unhideWhenUsed/>
    <w:rsid w:val="00672A56"/>
  </w:style>
  <w:style w:type="numbering" w:customStyle="1" w:styleId="121121">
    <w:name w:val="ללא רשימה121121"/>
    <w:next w:val="NoList"/>
    <w:uiPriority w:val="99"/>
    <w:semiHidden/>
    <w:rsid w:val="00672A56"/>
  </w:style>
  <w:style w:type="numbering" w:customStyle="1" w:styleId="211121">
    <w:name w:val="ללא רשימה211121"/>
    <w:next w:val="NoList"/>
    <w:semiHidden/>
    <w:rsid w:val="00672A56"/>
  </w:style>
  <w:style w:type="numbering" w:customStyle="1" w:styleId="1111121">
    <w:name w:val="ללא רשימה1111121"/>
    <w:next w:val="NoList"/>
    <w:uiPriority w:val="99"/>
    <w:semiHidden/>
    <w:rsid w:val="00672A56"/>
  </w:style>
  <w:style w:type="numbering" w:customStyle="1" w:styleId="41112">
    <w:name w:val="ללא רשימה41112"/>
    <w:next w:val="NoList"/>
    <w:uiPriority w:val="99"/>
    <w:semiHidden/>
    <w:unhideWhenUsed/>
    <w:rsid w:val="00672A56"/>
  </w:style>
  <w:style w:type="numbering" w:customStyle="1" w:styleId="131111">
    <w:name w:val="ללא רשימה131111"/>
    <w:next w:val="NoList"/>
    <w:uiPriority w:val="99"/>
    <w:semiHidden/>
    <w:rsid w:val="00672A56"/>
  </w:style>
  <w:style w:type="numbering" w:customStyle="1" w:styleId="221111">
    <w:name w:val="ללא רשימה221111"/>
    <w:next w:val="NoList"/>
    <w:semiHidden/>
    <w:rsid w:val="00672A56"/>
  </w:style>
  <w:style w:type="numbering" w:customStyle="1" w:styleId="1121111">
    <w:name w:val="ללא רשימה1121111"/>
    <w:next w:val="NoList"/>
    <w:uiPriority w:val="99"/>
    <w:semiHidden/>
    <w:rsid w:val="00672A56"/>
  </w:style>
  <w:style w:type="numbering" w:customStyle="1" w:styleId="311112">
    <w:name w:val="ללא רשימה311112"/>
    <w:next w:val="NoList"/>
    <w:uiPriority w:val="99"/>
    <w:semiHidden/>
    <w:unhideWhenUsed/>
    <w:rsid w:val="00672A56"/>
  </w:style>
  <w:style w:type="numbering" w:customStyle="1" w:styleId="1211111">
    <w:name w:val="ללא רשימה1211111"/>
    <w:next w:val="NoList"/>
    <w:uiPriority w:val="99"/>
    <w:semiHidden/>
    <w:rsid w:val="00672A56"/>
  </w:style>
  <w:style w:type="numbering" w:customStyle="1" w:styleId="2111112">
    <w:name w:val="ללא רשימה2111112"/>
    <w:next w:val="NoList"/>
    <w:semiHidden/>
    <w:rsid w:val="00672A56"/>
  </w:style>
  <w:style w:type="numbering" w:customStyle="1" w:styleId="11111112">
    <w:name w:val="ללא רשימה11111112"/>
    <w:next w:val="NoList"/>
    <w:uiPriority w:val="99"/>
    <w:semiHidden/>
    <w:rsid w:val="00672A56"/>
  </w:style>
  <w:style w:type="numbering" w:customStyle="1" w:styleId="710">
    <w:name w:val="ללא רשימה71"/>
    <w:next w:val="NoList"/>
    <w:uiPriority w:val="99"/>
    <w:semiHidden/>
    <w:unhideWhenUsed/>
    <w:rsid w:val="00672A56"/>
  </w:style>
  <w:style w:type="table" w:customStyle="1" w:styleId="611">
    <w:name w:val="טבלת רשת61"/>
    <w:basedOn w:val="TableNormal"/>
    <w:next w:val="TableGrid"/>
    <w:rsid w:val="00672A56"/>
    <w:pPr>
      <w:widowControl w:val="0"/>
      <w:spacing w:after="0" w:line="240" w:lineRule="auto"/>
    </w:pPr>
    <w:rPr>
      <w:rFonts w:ascii="Times New Roman" w:eastAsia="Times New Roman" w:hAnsi="Times New Roman" w:cs="Miriam"/>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1">
    <w:name w:val="ללא רשימה161"/>
    <w:next w:val="NoList"/>
    <w:uiPriority w:val="99"/>
    <w:semiHidden/>
    <w:unhideWhenUsed/>
    <w:rsid w:val="00672A56"/>
  </w:style>
  <w:style w:type="numbering" w:customStyle="1" w:styleId="1151">
    <w:name w:val="ללא רשימה1151"/>
    <w:next w:val="NoList"/>
    <w:uiPriority w:val="99"/>
    <w:semiHidden/>
    <w:rsid w:val="00672A56"/>
  </w:style>
  <w:style w:type="table" w:customStyle="1" w:styleId="3510">
    <w:name w:val="רשימה בטבלה 35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51">
    <w:name w:val="ללא רשימה251"/>
    <w:next w:val="NoList"/>
    <w:semiHidden/>
    <w:rsid w:val="00672A56"/>
  </w:style>
  <w:style w:type="numbering" w:customStyle="1" w:styleId="3410">
    <w:name w:val="ללא רשימה341"/>
    <w:next w:val="NoList"/>
    <w:uiPriority w:val="99"/>
    <w:semiHidden/>
    <w:unhideWhenUsed/>
    <w:rsid w:val="00672A56"/>
  </w:style>
  <w:style w:type="numbering" w:customStyle="1" w:styleId="1241">
    <w:name w:val="ללא רשימה1241"/>
    <w:next w:val="NoList"/>
    <w:uiPriority w:val="99"/>
    <w:semiHidden/>
    <w:rsid w:val="00672A56"/>
  </w:style>
  <w:style w:type="table" w:customStyle="1" w:styleId="31410">
    <w:name w:val="רשימה בטבלה 314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141">
    <w:name w:val="ללא רשימה2141"/>
    <w:next w:val="NoList"/>
    <w:semiHidden/>
    <w:rsid w:val="00672A56"/>
  </w:style>
  <w:style w:type="numbering" w:customStyle="1" w:styleId="11141">
    <w:name w:val="ללא רשימה11141"/>
    <w:next w:val="NoList"/>
    <w:uiPriority w:val="99"/>
    <w:semiHidden/>
    <w:rsid w:val="00672A56"/>
  </w:style>
  <w:style w:type="numbering" w:customStyle="1" w:styleId="431">
    <w:name w:val="ללא רשימה431"/>
    <w:next w:val="NoList"/>
    <w:uiPriority w:val="99"/>
    <w:semiHidden/>
    <w:unhideWhenUsed/>
    <w:rsid w:val="00672A56"/>
  </w:style>
  <w:style w:type="numbering" w:customStyle="1" w:styleId="1331">
    <w:name w:val="ללא רשימה1331"/>
    <w:next w:val="NoList"/>
    <w:uiPriority w:val="99"/>
    <w:semiHidden/>
    <w:rsid w:val="00672A56"/>
  </w:style>
  <w:style w:type="table" w:customStyle="1" w:styleId="3231">
    <w:name w:val="רשימה בטבלה 3231"/>
    <w:basedOn w:val="TableNormal"/>
    <w:next w:val="TableList3"/>
    <w:rsid w:val="00672A56"/>
    <w:pPr>
      <w:spacing w:after="0" w:line="240" w:lineRule="auto"/>
      <w:jc w:val="both"/>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numbering" w:customStyle="1" w:styleId="2231">
    <w:name w:val="ללא רשימה2231"/>
    <w:next w:val="NoList"/>
    <w:semiHidden/>
    <w:rsid w:val="00672A56"/>
  </w:style>
  <w:style w:type="numbering" w:customStyle="1" w:styleId="11231">
    <w:name w:val="ללא רשימה11231"/>
    <w:next w:val="NoList"/>
    <w:uiPriority w:val="99"/>
    <w:semiHidden/>
    <w:rsid w:val="00672A56"/>
  </w:style>
  <w:style w:type="numbering" w:customStyle="1" w:styleId="31311">
    <w:name w:val="ללא רשימה3131"/>
    <w:next w:val="NoList"/>
    <w:uiPriority w:val="99"/>
    <w:semiHidden/>
    <w:unhideWhenUsed/>
    <w:rsid w:val="00672A56"/>
  </w:style>
  <w:style w:type="numbering" w:customStyle="1" w:styleId="12131">
    <w:name w:val="ללא רשימה12131"/>
    <w:next w:val="NoList"/>
    <w:uiPriority w:val="99"/>
    <w:semiHidden/>
    <w:rsid w:val="00672A56"/>
  </w:style>
  <w:style w:type="numbering" w:customStyle="1" w:styleId="21131">
    <w:name w:val="ללא רשימה21131"/>
    <w:next w:val="NoList"/>
    <w:semiHidden/>
    <w:rsid w:val="00672A56"/>
  </w:style>
  <w:style w:type="numbering" w:customStyle="1" w:styleId="111131">
    <w:name w:val="ללא רשימה111131"/>
    <w:next w:val="NoList"/>
    <w:uiPriority w:val="99"/>
    <w:semiHidden/>
    <w:rsid w:val="00672A56"/>
  </w:style>
  <w:style w:type="numbering" w:customStyle="1" w:styleId="521">
    <w:name w:val="ללא רשימה521"/>
    <w:next w:val="NoList"/>
    <w:uiPriority w:val="99"/>
    <w:semiHidden/>
    <w:unhideWhenUsed/>
    <w:rsid w:val="00672A56"/>
  </w:style>
  <w:style w:type="numbering" w:customStyle="1" w:styleId="1421">
    <w:name w:val="ללא רשימה1421"/>
    <w:next w:val="NoList"/>
    <w:uiPriority w:val="99"/>
    <w:semiHidden/>
    <w:rsid w:val="00672A56"/>
  </w:style>
  <w:style w:type="numbering" w:customStyle="1" w:styleId="2321">
    <w:name w:val="ללא רשימה2321"/>
    <w:next w:val="NoList"/>
    <w:semiHidden/>
    <w:rsid w:val="00672A56"/>
  </w:style>
  <w:style w:type="numbering" w:customStyle="1" w:styleId="11321">
    <w:name w:val="ללא רשימה11321"/>
    <w:next w:val="NoList"/>
    <w:uiPriority w:val="99"/>
    <w:semiHidden/>
    <w:rsid w:val="00672A56"/>
  </w:style>
  <w:style w:type="numbering" w:customStyle="1" w:styleId="32211">
    <w:name w:val="ללא רשימה3221"/>
    <w:next w:val="NoList"/>
    <w:uiPriority w:val="99"/>
    <w:semiHidden/>
    <w:unhideWhenUsed/>
    <w:rsid w:val="00672A56"/>
  </w:style>
  <w:style w:type="numbering" w:customStyle="1" w:styleId="12221">
    <w:name w:val="ללא רשימה12221"/>
    <w:next w:val="NoList"/>
    <w:uiPriority w:val="99"/>
    <w:semiHidden/>
    <w:rsid w:val="00672A56"/>
  </w:style>
  <w:style w:type="numbering" w:customStyle="1" w:styleId="21221">
    <w:name w:val="ללא רשימה21221"/>
    <w:next w:val="NoList"/>
    <w:semiHidden/>
    <w:rsid w:val="00672A56"/>
  </w:style>
  <w:style w:type="numbering" w:customStyle="1" w:styleId="111221">
    <w:name w:val="ללא רשימה111221"/>
    <w:next w:val="NoList"/>
    <w:uiPriority w:val="99"/>
    <w:semiHidden/>
    <w:rsid w:val="00672A56"/>
  </w:style>
  <w:style w:type="numbering" w:customStyle="1" w:styleId="4131">
    <w:name w:val="ללא רשימה4131"/>
    <w:next w:val="NoList"/>
    <w:uiPriority w:val="99"/>
    <w:semiHidden/>
    <w:unhideWhenUsed/>
    <w:rsid w:val="00672A56"/>
  </w:style>
  <w:style w:type="numbering" w:customStyle="1" w:styleId="13131">
    <w:name w:val="ללא רשימה13131"/>
    <w:next w:val="NoList"/>
    <w:uiPriority w:val="99"/>
    <w:semiHidden/>
    <w:unhideWhenUsed/>
    <w:rsid w:val="00672A56"/>
  </w:style>
  <w:style w:type="numbering" w:customStyle="1" w:styleId="112131">
    <w:name w:val="ללא רשימה112131"/>
    <w:next w:val="NoList"/>
    <w:uiPriority w:val="99"/>
    <w:semiHidden/>
    <w:rsid w:val="00672A56"/>
  </w:style>
  <w:style w:type="numbering" w:customStyle="1" w:styleId="22131">
    <w:name w:val="ללא רשימה22131"/>
    <w:next w:val="NoList"/>
    <w:semiHidden/>
    <w:rsid w:val="00672A56"/>
  </w:style>
  <w:style w:type="numbering" w:customStyle="1" w:styleId="31131">
    <w:name w:val="ללא רשימה31131"/>
    <w:next w:val="NoList"/>
    <w:uiPriority w:val="99"/>
    <w:semiHidden/>
    <w:unhideWhenUsed/>
    <w:rsid w:val="00672A56"/>
  </w:style>
  <w:style w:type="numbering" w:customStyle="1" w:styleId="121131">
    <w:name w:val="ללא רשימה121131"/>
    <w:next w:val="NoList"/>
    <w:uiPriority w:val="99"/>
    <w:semiHidden/>
    <w:rsid w:val="00672A56"/>
  </w:style>
  <w:style w:type="numbering" w:customStyle="1" w:styleId="211131">
    <w:name w:val="ללא רשימה211131"/>
    <w:next w:val="NoList"/>
    <w:semiHidden/>
    <w:rsid w:val="00672A56"/>
  </w:style>
  <w:style w:type="numbering" w:customStyle="1" w:styleId="1111131">
    <w:name w:val="ללא רשימה1111131"/>
    <w:next w:val="NoList"/>
    <w:uiPriority w:val="99"/>
    <w:semiHidden/>
    <w:rsid w:val="00672A56"/>
  </w:style>
  <w:style w:type="numbering" w:customStyle="1" w:styleId="41121">
    <w:name w:val="ללא רשימה41121"/>
    <w:next w:val="NoList"/>
    <w:uiPriority w:val="99"/>
    <w:semiHidden/>
    <w:unhideWhenUsed/>
    <w:rsid w:val="00672A56"/>
  </w:style>
  <w:style w:type="numbering" w:customStyle="1" w:styleId="131121">
    <w:name w:val="ללא רשימה131121"/>
    <w:next w:val="NoList"/>
    <w:uiPriority w:val="99"/>
    <w:semiHidden/>
    <w:rsid w:val="00672A56"/>
  </w:style>
  <w:style w:type="numbering" w:customStyle="1" w:styleId="221121">
    <w:name w:val="ללא רשימה221121"/>
    <w:next w:val="NoList"/>
    <w:semiHidden/>
    <w:rsid w:val="00672A56"/>
  </w:style>
  <w:style w:type="numbering" w:customStyle="1" w:styleId="1121121">
    <w:name w:val="ללא רשימה1121121"/>
    <w:next w:val="NoList"/>
    <w:uiPriority w:val="99"/>
    <w:semiHidden/>
    <w:rsid w:val="00672A56"/>
  </w:style>
  <w:style w:type="numbering" w:customStyle="1" w:styleId="311121">
    <w:name w:val="ללא רשימה311121"/>
    <w:next w:val="NoList"/>
    <w:uiPriority w:val="99"/>
    <w:semiHidden/>
    <w:unhideWhenUsed/>
    <w:rsid w:val="00672A56"/>
  </w:style>
  <w:style w:type="numbering" w:customStyle="1" w:styleId="1211121">
    <w:name w:val="ללא רשימה1211121"/>
    <w:next w:val="NoList"/>
    <w:uiPriority w:val="99"/>
    <w:semiHidden/>
    <w:rsid w:val="00672A56"/>
  </w:style>
  <w:style w:type="numbering" w:customStyle="1" w:styleId="2111121">
    <w:name w:val="ללא רשימה2111121"/>
    <w:next w:val="NoList"/>
    <w:semiHidden/>
    <w:rsid w:val="00672A56"/>
  </w:style>
  <w:style w:type="numbering" w:customStyle="1" w:styleId="11111121">
    <w:name w:val="ללא רשימה11111121"/>
    <w:next w:val="NoList"/>
    <w:uiPriority w:val="99"/>
    <w:semiHidden/>
    <w:rsid w:val="00672A56"/>
  </w:style>
  <w:style w:type="character" w:styleId="SubtleReference">
    <w:name w:val="Subtle Reference"/>
    <w:basedOn w:val="DefaultParagraphFont"/>
    <w:uiPriority w:val="31"/>
    <w:qFormat/>
    <w:rsid w:val="00672A56"/>
    <w:rPr>
      <w:smallCaps/>
      <w:color w:val="5A5A5A" w:themeColor="text1" w:themeTint="A5"/>
    </w:rPr>
  </w:style>
  <w:style w:type="paragraph" w:customStyle="1" w:styleId="paragraph2">
    <w:name w:val="paragraph2 תו תו תו תו"/>
    <w:basedOn w:val="Normal"/>
    <w:link w:val="paragraph20"/>
    <w:uiPriority w:val="99"/>
    <w:rsid w:val="00FC7886"/>
    <w:pPr>
      <w:spacing w:before="60" w:after="60" w:line="320" w:lineRule="atLeast"/>
      <w:ind w:left="1021" w:right="0"/>
      <w:contextualSpacing/>
    </w:pPr>
    <w:rPr>
      <w:color w:val="auto"/>
      <w:sz w:val="24"/>
      <w:szCs w:val="24"/>
    </w:rPr>
  </w:style>
  <w:style w:type="character" w:customStyle="1" w:styleId="paragraph20">
    <w:name w:val="paragraph2 תו תו תו תו תו"/>
    <w:basedOn w:val="DefaultParagraphFont"/>
    <w:link w:val="paragraph2"/>
    <w:uiPriority w:val="99"/>
    <w:locked/>
    <w:rsid w:val="00FC7886"/>
    <w:rPr>
      <w:rFonts w:ascii="Arial" w:eastAsia="Times New Roman"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832405">
      <w:bodyDiv w:val="1"/>
      <w:marLeft w:val="0"/>
      <w:marRight w:val="0"/>
      <w:marTop w:val="0"/>
      <w:marBottom w:val="0"/>
      <w:divBdr>
        <w:top w:val="none" w:sz="0" w:space="0" w:color="auto"/>
        <w:left w:val="none" w:sz="0" w:space="0" w:color="auto"/>
        <w:bottom w:val="none" w:sz="0" w:space="0" w:color="auto"/>
        <w:right w:val="none" w:sz="0" w:space="0" w:color="auto"/>
      </w:divBdr>
    </w:div>
    <w:div w:id="31618508">
      <w:bodyDiv w:val="1"/>
      <w:marLeft w:val="0"/>
      <w:marRight w:val="0"/>
      <w:marTop w:val="0"/>
      <w:marBottom w:val="0"/>
      <w:divBdr>
        <w:top w:val="none" w:sz="0" w:space="0" w:color="auto"/>
        <w:left w:val="none" w:sz="0" w:space="0" w:color="auto"/>
        <w:bottom w:val="none" w:sz="0" w:space="0" w:color="auto"/>
        <w:right w:val="none" w:sz="0" w:space="0" w:color="auto"/>
      </w:divBdr>
    </w:div>
    <w:div w:id="32774361">
      <w:bodyDiv w:val="1"/>
      <w:marLeft w:val="0"/>
      <w:marRight w:val="0"/>
      <w:marTop w:val="0"/>
      <w:marBottom w:val="0"/>
      <w:divBdr>
        <w:top w:val="none" w:sz="0" w:space="0" w:color="auto"/>
        <w:left w:val="none" w:sz="0" w:space="0" w:color="auto"/>
        <w:bottom w:val="none" w:sz="0" w:space="0" w:color="auto"/>
        <w:right w:val="none" w:sz="0" w:space="0" w:color="auto"/>
      </w:divBdr>
    </w:div>
    <w:div w:id="43910752">
      <w:bodyDiv w:val="1"/>
      <w:marLeft w:val="0"/>
      <w:marRight w:val="0"/>
      <w:marTop w:val="0"/>
      <w:marBottom w:val="0"/>
      <w:divBdr>
        <w:top w:val="none" w:sz="0" w:space="0" w:color="auto"/>
        <w:left w:val="none" w:sz="0" w:space="0" w:color="auto"/>
        <w:bottom w:val="none" w:sz="0" w:space="0" w:color="auto"/>
        <w:right w:val="none" w:sz="0" w:space="0" w:color="auto"/>
      </w:divBdr>
    </w:div>
    <w:div w:id="68701380">
      <w:bodyDiv w:val="1"/>
      <w:marLeft w:val="0"/>
      <w:marRight w:val="0"/>
      <w:marTop w:val="0"/>
      <w:marBottom w:val="0"/>
      <w:divBdr>
        <w:top w:val="none" w:sz="0" w:space="0" w:color="auto"/>
        <w:left w:val="none" w:sz="0" w:space="0" w:color="auto"/>
        <w:bottom w:val="none" w:sz="0" w:space="0" w:color="auto"/>
        <w:right w:val="none" w:sz="0" w:space="0" w:color="auto"/>
      </w:divBdr>
    </w:div>
    <w:div w:id="101805192">
      <w:bodyDiv w:val="1"/>
      <w:marLeft w:val="0"/>
      <w:marRight w:val="0"/>
      <w:marTop w:val="0"/>
      <w:marBottom w:val="0"/>
      <w:divBdr>
        <w:top w:val="none" w:sz="0" w:space="0" w:color="auto"/>
        <w:left w:val="none" w:sz="0" w:space="0" w:color="auto"/>
        <w:bottom w:val="none" w:sz="0" w:space="0" w:color="auto"/>
        <w:right w:val="none" w:sz="0" w:space="0" w:color="auto"/>
      </w:divBdr>
    </w:div>
    <w:div w:id="111635016">
      <w:bodyDiv w:val="1"/>
      <w:marLeft w:val="0"/>
      <w:marRight w:val="0"/>
      <w:marTop w:val="0"/>
      <w:marBottom w:val="0"/>
      <w:divBdr>
        <w:top w:val="none" w:sz="0" w:space="0" w:color="auto"/>
        <w:left w:val="none" w:sz="0" w:space="0" w:color="auto"/>
        <w:bottom w:val="none" w:sz="0" w:space="0" w:color="auto"/>
        <w:right w:val="none" w:sz="0" w:space="0" w:color="auto"/>
      </w:divBdr>
    </w:div>
    <w:div w:id="130559534">
      <w:bodyDiv w:val="1"/>
      <w:marLeft w:val="0"/>
      <w:marRight w:val="0"/>
      <w:marTop w:val="0"/>
      <w:marBottom w:val="0"/>
      <w:divBdr>
        <w:top w:val="none" w:sz="0" w:space="0" w:color="auto"/>
        <w:left w:val="none" w:sz="0" w:space="0" w:color="auto"/>
        <w:bottom w:val="none" w:sz="0" w:space="0" w:color="auto"/>
        <w:right w:val="none" w:sz="0" w:space="0" w:color="auto"/>
      </w:divBdr>
    </w:div>
    <w:div w:id="192113828">
      <w:bodyDiv w:val="1"/>
      <w:marLeft w:val="0"/>
      <w:marRight w:val="0"/>
      <w:marTop w:val="0"/>
      <w:marBottom w:val="0"/>
      <w:divBdr>
        <w:top w:val="none" w:sz="0" w:space="0" w:color="auto"/>
        <w:left w:val="none" w:sz="0" w:space="0" w:color="auto"/>
        <w:bottom w:val="none" w:sz="0" w:space="0" w:color="auto"/>
        <w:right w:val="none" w:sz="0" w:space="0" w:color="auto"/>
      </w:divBdr>
    </w:div>
    <w:div w:id="239995431">
      <w:bodyDiv w:val="1"/>
      <w:marLeft w:val="0"/>
      <w:marRight w:val="0"/>
      <w:marTop w:val="0"/>
      <w:marBottom w:val="0"/>
      <w:divBdr>
        <w:top w:val="none" w:sz="0" w:space="0" w:color="auto"/>
        <w:left w:val="none" w:sz="0" w:space="0" w:color="auto"/>
        <w:bottom w:val="none" w:sz="0" w:space="0" w:color="auto"/>
        <w:right w:val="none" w:sz="0" w:space="0" w:color="auto"/>
      </w:divBdr>
    </w:div>
    <w:div w:id="272784812">
      <w:bodyDiv w:val="1"/>
      <w:marLeft w:val="0"/>
      <w:marRight w:val="0"/>
      <w:marTop w:val="0"/>
      <w:marBottom w:val="0"/>
      <w:divBdr>
        <w:top w:val="none" w:sz="0" w:space="0" w:color="auto"/>
        <w:left w:val="none" w:sz="0" w:space="0" w:color="auto"/>
        <w:bottom w:val="none" w:sz="0" w:space="0" w:color="auto"/>
        <w:right w:val="none" w:sz="0" w:space="0" w:color="auto"/>
      </w:divBdr>
    </w:div>
    <w:div w:id="334773271">
      <w:bodyDiv w:val="1"/>
      <w:marLeft w:val="0"/>
      <w:marRight w:val="0"/>
      <w:marTop w:val="0"/>
      <w:marBottom w:val="0"/>
      <w:divBdr>
        <w:top w:val="none" w:sz="0" w:space="0" w:color="auto"/>
        <w:left w:val="none" w:sz="0" w:space="0" w:color="auto"/>
        <w:bottom w:val="none" w:sz="0" w:space="0" w:color="auto"/>
        <w:right w:val="none" w:sz="0" w:space="0" w:color="auto"/>
      </w:divBdr>
    </w:div>
    <w:div w:id="380442800">
      <w:bodyDiv w:val="1"/>
      <w:marLeft w:val="0"/>
      <w:marRight w:val="0"/>
      <w:marTop w:val="0"/>
      <w:marBottom w:val="0"/>
      <w:divBdr>
        <w:top w:val="none" w:sz="0" w:space="0" w:color="auto"/>
        <w:left w:val="none" w:sz="0" w:space="0" w:color="auto"/>
        <w:bottom w:val="none" w:sz="0" w:space="0" w:color="auto"/>
        <w:right w:val="none" w:sz="0" w:space="0" w:color="auto"/>
      </w:divBdr>
    </w:div>
    <w:div w:id="444423247">
      <w:bodyDiv w:val="1"/>
      <w:marLeft w:val="0"/>
      <w:marRight w:val="0"/>
      <w:marTop w:val="0"/>
      <w:marBottom w:val="0"/>
      <w:divBdr>
        <w:top w:val="none" w:sz="0" w:space="0" w:color="auto"/>
        <w:left w:val="none" w:sz="0" w:space="0" w:color="auto"/>
        <w:bottom w:val="none" w:sz="0" w:space="0" w:color="auto"/>
        <w:right w:val="none" w:sz="0" w:space="0" w:color="auto"/>
      </w:divBdr>
    </w:div>
    <w:div w:id="519205529">
      <w:bodyDiv w:val="1"/>
      <w:marLeft w:val="0"/>
      <w:marRight w:val="0"/>
      <w:marTop w:val="0"/>
      <w:marBottom w:val="0"/>
      <w:divBdr>
        <w:top w:val="none" w:sz="0" w:space="0" w:color="auto"/>
        <w:left w:val="none" w:sz="0" w:space="0" w:color="auto"/>
        <w:bottom w:val="none" w:sz="0" w:space="0" w:color="auto"/>
        <w:right w:val="none" w:sz="0" w:space="0" w:color="auto"/>
      </w:divBdr>
    </w:div>
    <w:div w:id="523785902">
      <w:bodyDiv w:val="1"/>
      <w:marLeft w:val="0"/>
      <w:marRight w:val="0"/>
      <w:marTop w:val="0"/>
      <w:marBottom w:val="0"/>
      <w:divBdr>
        <w:top w:val="none" w:sz="0" w:space="0" w:color="auto"/>
        <w:left w:val="none" w:sz="0" w:space="0" w:color="auto"/>
        <w:bottom w:val="none" w:sz="0" w:space="0" w:color="auto"/>
        <w:right w:val="none" w:sz="0" w:space="0" w:color="auto"/>
      </w:divBdr>
    </w:div>
    <w:div w:id="545719858">
      <w:bodyDiv w:val="1"/>
      <w:marLeft w:val="0"/>
      <w:marRight w:val="0"/>
      <w:marTop w:val="0"/>
      <w:marBottom w:val="0"/>
      <w:divBdr>
        <w:top w:val="none" w:sz="0" w:space="0" w:color="auto"/>
        <w:left w:val="none" w:sz="0" w:space="0" w:color="auto"/>
        <w:bottom w:val="none" w:sz="0" w:space="0" w:color="auto"/>
        <w:right w:val="none" w:sz="0" w:space="0" w:color="auto"/>
      </w:divBdr>
    </w:div>
    <w:div w:id="564606538">
      <w:bodyDiv w:val="1"/>
      <w:marLeft w:val="0"/>
      <w:marRight w:val="0"/>
      <w:marTop w:val="0"/>
      <w:marBottom w:val="0"/>
      <w:divBdr>
        <w:top w:val="none" w:sz="0" w:space="0" w:color="auto"/>
        <w:left w:val="none" w:sz="0" w:space="0" w:color="auto"/>
        <w:bottom w:val="none" w:sz="0" w:space="0" w:color="auto"/>
        <w:right w:val="none" w:sz="0" w:space="0" w:color="auto"/>
      </w:divBdr>
    </w:div>
    <w:div w:id="596016965">
      <w:bodyDiv w:val="1"/>
      <w:marLeft w:val="0"/>
      <w:marRight w:val="0"/>
      <w:marTop w:val="0"/>
      <w:marBottom w:val="0"/>
      <w:divBdr>
        <w:top w:val="none" w:sz="0" w:space="0" w:color="auto"/>
        <w:left w:val="none" w:sz="0" w:space="0" w:color="auto"/>
        <w:bottom w:val="none" w:sz="0" w:space="0" w:color="auto"/>
        <w:right w:val="none" w:sz="0" w:space="0" w:color="auto"/>
      </w:divBdr>
    </w:div>
    <w:div w:id="616716043">
      <w:bodyDiv w:val="1"/>
      <w:marLeft w:val="0"/>
      <w:marRight w:val="0"/>
      <w:marTop w:val="0"/>
      <w:marBottom w:val="0"/>
      <w:divBdr>
        <w:top w:val="none" w:sz="0" w:space="0" w:color="auto"/>
        <w:left w:val="none" w:sz="0" w:space="0" w:color="auto"/>
        <w:bottom w:val="none" w:sz="0" w:space="0" w:color="auto"/>
        <w:right w:val="none" w:sz="0" w:space="0" w:color="auto"/>
      </w:divBdr>
    </w:div>
    <w:div w:id="627468975">
      <w:bodyDiv w:val="1"/>
      <w:marLeft w:val="0"/>
      <w:marRight w:val="0"/>
      <w:marTop w:val="0"/>
      <w:marBottom w:val="0"/>
      <w:divBdr>
        <w:top w:val="none" w:sz="0" w:space="0" w:color="auto"/>
        <w:left w:val="none" w:sz="0" w:space="0" w:color="auto"/>
        <w:bottom w:val="none" w:sz="0" w:space="0" w:color="auto"/>
        <w:right w:val="none" w:sz="0" w:space="0" w:color="auto"/>
      </w:divBdr>
    </w:div>
    <w:div w:id="654794475">
      <w:bodyDiv w:val="1"/>
      <w:marLeft w:val="0"/>
      <w:marRight w:val="0"/>
      <w:marTop w:val="0"/>
      <w:marBottom w:val="0"/>
      <w:divBdr>
        <w:top w:val="none" w:sz="0" w:space="0" w:color="auto"/>
        <w:left w:val="none" w:sz="0" w:space="0" w:color="auto"/>
        <w:bottom w:val="none" w:sz="0" w:space="0" w:color="auto"/>
        <w:right w:val="none" w:sz="0" w:space="0" w:color="auto"/>
      </w:divBdr>
    </w:div>
    <w:div w:id="720983422">
      <w:bodyDiv w:val="1"/>
      <w:marLeft w:val="0"/>
      <w:marRight w:val="0"/>
      <w:marTop w:val="0"/>
      <w:marBottom w:val="0"/>
      <w:divBdr>
        <w:top w:val="none" w:sz="0" w:space="0" w:color="auto"/>
        <w:left w:val="none" w:sz="0" w:space="0" w:color="auto"/>
        <w:bottom w:val="none" w:sz="0" w:space="0" w:color="auto"/>
        <w:right w:val="none" w:sz="0" w:space="0" w:color="auto"/>
      </w:divBdr>
    </w:div>
    <w:div w:id="721487349">
      <w:bodyDiv w:val="1"/>
      <w:marLeft w:val="0"/>
      <w:marRight w:val="0"/>
      <w:marTop w:val="0"/>
      <w:marBottom w:val="0"/>
      <w:divBdr>
        <w:top w:val="none" w:sz="0" w:space="0" w:color="auto"/>
        <w:left w:val="none" w:sz="0" w:space="0" w:color="auto"/>
        <w:bottom w:val="none" w:sz="0" w:space="0" w:color="auto"/>
        <w:right w:val="none" w:sz="0" w:space="0" w:color="auto"/>
      </w:divBdr>
    </w:div>
    <w:div w:id="746194957">
      <w:bodyDiv w:val="1"/>
      <w:marLeft w:val="0"/>
      <w:marRight w:val="0"/>
      <w:marTop w:val="0"/>
      <w:marBottom w:val="0"/>
      <w:divBdr>
        <w:top w:val="none" w:sz="0" w:space="0" w:color="auto"/>
        <w:left w:val="none" w:sz="0" w:space="0" w:color="auto"/>
        <w:bottom w:val="none" w:sz="0" w:space="0" w:color="auto"/>
        <w:right w:val="none" w:sz="0" w:space="0" w:color="auto"/>
      </w:divBdr>
    </w:div>
    <w:div w:id="829294636">
      <w:bodyDiv w:val="1"/>
      <w:marLeft w:val="0"/>
      <w:marRight w:val="0"/>
      <w:marTop w:val="0"/>
      <w:marBottom w:val="0"/>
      <w:divBdr>
        <w:top w:val="none" w:sz="0" w:space="0" w:color="auto"/>
        <w:left w:val="none" w:sz="0" w:space="0" w:color="auto"/>
        <w:bottom w:val="none" w:sz="0" w:space="0" w:color="auto"/>
        <w:right w:val="none" w:sz="0" w:space="0" w:color="auto"/>
      </w:divBdr>
    </w:div>
    <w:div w:id="869495508">
      <w:bodyDiv w:val="1"/>
      <w:marLeft w:val="0"/>
      <w:marRight w:val="0"/>
      <w:marTop w:val="0"/>
      <w:marBottom w:val="0"/>
      <w:divBdr>
        <w:top w:val="none" w:sz="0" w:space="0" w:color="auto"/>
        <w:left w:val="none" w:sz="0" w:space="0" w:color="auto"/>
        <w:bottom w:val="none" w:sz="0" w:space="0" w:color="auto"/>
        <w:right w:val="none" w:sz="0" w:space="0" w:color="auto"/>
      </w:divBdr>
    </w:div>
    <w:div w:id="1041520644">
      <w:bodyDiv w:val="1"/>
      <w:marLeft w:val="0"/>
      <w:marRight w:val="0"/>
      <w:marTop w:val="0"/>
      <w:marBottom w:val="0"/>
      <w:divBdr>
        <w:top w:val="none" w:sz="0" w:space="0" w:color="auto"/>
        <w:left w:val="none" w:sz="0" w:space="0" w:color="auto"/>
        <w:bottom w:val="none" w:sz="0" w:space="0" w:color="auto"/>
        <w:right w:val="none" w:sz="0" w:space="0" w:color="auto"/>
      </w:divBdr>
    </w:div>
    <w:div w:id="1057826861">
      <w:bodyDiv w:val="1"/>
      <w:marLeft w:val="0"/>
      <w:marRight w:val="0"/>
      <w:marTop w:val="0"/>
      <w:marBottom w:val="0"/>
      <w:divBdr>
        <w:top w:val="none" w:sz="0" w:space="0" w:color="auto"/>
        <w:left w:val="none" w:sz="0" w:space="0" w:color="auto"/>
        <w:bottom w:val="none" w:sz="0" w:space="0" w:color="auto"/>
        <w:right w:val="none" w:sz="0" w:space="0" w:color="auto"/>
      </w:divBdr>
    </w:div>
    <w:div w:id="1086263737">
      <w:bodyDiv w:val="1"/>
      <w:marLeft w:val="0"/>
      <w:marRight w:val="0"/>
      <w:marTop w:val="0"/>
      <w:marBottom w:val="0"/>
      <w:divBdr>
        <w:top w:val="none" w:sz="0" w:space="0" w:color="auto"/>
        <w:left w:val="none" w:sz="0" w:space="0" w:color="auto"/>
        <w:bottom w:val="none" w:sz="0" w:space="0" w:color="auto"/>
        <w:right w:val="none" w:sz="0" w:space="0" w:color="auto"/>
      </w:divBdr>
    </w:div>
    <w:div w:id="1155103499">
      <w:bodyDiv w:val="1"/>
      <w:marLeft w:val="0"/>
      <w:marRight w:val="0"/>
      <w:marTop w:val="0"/>
      <w:marBottom w:val="0"/>
      <w:divBdr>
        <w:top w:val="none" w:sz="0" w:space="0" w:color="auto"/>
        <w:left w:val="none" w:sz="0" w:space="0" w:color="auto"/>
        <w:bottom w:val="none" w:sz="0" w:space="0" w:color="auto"/>
        <w:right w:val="none" w:sz="0" w:space="0" w:color="auto"/>
      </w:divBdr>
    </w:div>
    <w:div w:id="1267956655">
      <w:bodyDiv w:val="1"/>
      <w:marLeft w:val="0"/>
      <w:marRight w:val="0"/>
      <w:marTop w:val="0"/>
      <w:marBottom w:val="0"/>
      <w:divBdr>
        <w:top w:val="none" w:sz="0" w:space="0" w:color="auto"/>
        <w:left w:val="none" w:sz="0" w:space="0" w:color="auto"/>
        <w:bottom w:val="none" w:sz="0" w:space="0" w:color="auto"/>
        <w:right w:val="none" w:sz="0" w:space="0" w:color="auto"/>
      </w:divBdr>
    </w:div>
    <w:div w:id="1272207979">
      <w:bodyDiv w:val="1"/>
      <w:marLeft w:val="0"/>
      <w:marRight w:val="0"/>
      <w:marTop w:val="0"/>
      <w:marBottom w:val="0"/>
      <w:divBdr>
        <w:top w:val="none" w:sz="0" w:space="0" w:color="auto"/>
        <w:left w:val="none" w:sz="0" w:space="0" w:color="auto"/>
        <w:bottom w:val="none" w:sz="0" w:space="0" w:color="auto"/>
        <w:right w:val="none" w:sz="0" w:space="0" w:color="auto"/>
      </w:divBdr>
    </w:div>
    <w:div w:id="1290891770">
      <w:bodyDiv w:val="1"/>
      <w:marLeft w:val="0"/>
      <w:marRight w:val="0"/>
      <w:marTop w:val="0"/>
      <w:marBottom w:val="0"/>
      <w:divBdr>
        <w:top w:val="none" w:sz="0" w:space="0" w:color="auto"/>
        <w:left w:val="none" w:sz="0" w:space="0" w:color="auto"/>
        <w:bottom w:val="none" w:sz="0" w:space="0" w:color="auto"/>
        <w:right w:val="none" w:sz="0" w:space="0" w:color="auto"/>
      </w:divBdr>
    </w:div>
    <w:div w:id="1316757702">
      <w:bodyDiv w:val="1"/>
      <w:marLeft w:val="0"/>
      <w:marRight w:val="0"/>
      <w:marTop w:val="0"/>
      <w:marBottom w:val="0"/>
      <w:divBdr>
        <w:top w:val="none" w:sz="0" w:space="0" w:color="auto"/>
        <w:left w:val="none" w:sz="0" w:space="0" w:color="auto"/>
        <w:bottom w:val="none" w:sz="0" w:space="0" w:color="auto"/>
        <w:right w:val="none" w:sz="0" w:space="0" w:color="auto"/>
      </w:divBdr>
    </w:div>
    <w:div w:id="1329678466">
      <w:bodyDiv w:val="1"/>
      <w:marLeft w:val="0"/>
      <w:marRight w:val="0"/>
      <w:marTop w:val="0"/>
      <w:marBottom w:val="0"/>
      <w:divBdr>
        <w:top w:val="none" w:sz="0" w:space="0" w:color="auto"/>
        <w:left w:val="none" w:sz="0" w:space="0" w:color="auto"/>
        <w:bottom w:val="none" w:sz="0" w:space="0" w:color="auto"/>
        <w:right w:val="none" w:sz="0" w:space="0" w:color="auto"/>
      </w:divBdr>
    </w:div>
    <w:div w:id="1364743707">
      <w:bodyDiv w:val="1"/>
      <w:marLeft w:val="0"/>
      <w:marRight w:val="0"/>
      <w:marTop w:val="0"/>
      <w:marBottom w:val="0"/>
      <w:divBdr>
        <w:top w:val="none" w:sz="0" w:space="0" w:color="auto"/>
        <w:left w:val="none" w:sz="0" w:space="0" w:color="auto"/>
        <w:bottom w:val="none" w:sz="0" w:space="0" w:color="auto"/>
        <w:right w:val="none" w:sz="0" w:space="0" w:color="auto"/>
      </w:divBdr>
    </w:div>
    <w:div w:id="1377509491">
      <w:bodyDiv w:val="1"/>
      <w:marLeft w:val="0"/>
      <w:marRight w:val="0"/>
      <w:marTop w:val="0"/>
      <w:marBottom w:val="0"/>
      <w:divBdr>
        <w:top w:val="none" w:sz="0" w:space="0" w:color="auto"/>
        <w:left w:val="none" w:sz="0" w:space="0" w:color="auto"/>
        <w:bottom w:val="none" w:sz="0" w:space="0" w:color="auto"/>
        <w:right w:val="none" w:sz="0" w:space="0" w:color="auto"/>
      </w:divBdr>
    </w:div>
    <w:div w:id="1396398175">
      <w:bodyDiv w:val="1"/>
      <w:marLeft w:val="0"/>
      <w:marRight w:val="0"/>
      <w:marTop w:val="0"/>
      <w:marBottom w:val="0"/>
      <w:divBdr>
        <w:top w:val="none" w:sz="0" w:space="0" w:color="auto"/>
        <w:left w:val="none" w:sz="0" w:space="0" w:color="auto"/>
        <w:bottom w:val="none" w:sz="0" w:space="0" w:color="auto"/>
        <w:right w:val="none" w:sz="0" w:space="0" w:color="auto"/>
      </w:divBdr>
    </w:div>
    <w:div w:id="1402875117">
      <w:bodyDiv w:val="1"/>
      <w:marLeft w:val="0"/>
      <w:marRight w:val="0"/>
      <w:marTop w:val="0"/>
      <w:marBottom w:val="0"/>
      <w:divBdr>
        <w:top w:val="none" w:sz="0" w:space="0" w:color="auto"/>
        <w:left w:val="none" w:sz="0" w:space="0" w:color="auto"/>
        <w:bottom w:val="none" w:sz="0" w:space="0" w:color="auto"/>
        <w:right w:val="none" w:sz="0" w:space="0" w:color="auto"/>
      </w:divBdr>
    </w:div>
    <w:div w:id="1414549959">
      <w:bodyDiv w:val="1"/>
      <w:marLeft w:val="0"/>
      <w:marRight w:val="0"/>
      <w:marTop w:val="0"/>
      <w:marBottom w:val="0"/>
      <w:divBdr>
        <w:top w:val="none" w:sz="0" w:space="0" w:color="auto"/>
        <w:left w:val="none" w:sz="0" w:space="0" w:color="auto"/>
        <w:bottom w:val="none" w:sz="0" w:space="0" w:color="auto"/>
        <w:right w:val="none" w:sz="0" w:space="0" w:color="auto"/>
      </w:divBdr>
    </w:div>
    <w:div w:id="1423379002">
      <w:bodyDiv w:val="1"/>
      <w:marLeft w:val="0"/>
      <w:marRight w:val="0"/>
      <w:marTop w:val="0"/>
      <w:marBottom w:val="0"/>
      <w:divBdr>
        <w:top w:val="none" w:sz="0" w:space="0" w:color="auto"/>
        <w:left w:val="none" w:sz="0" w:space="0" w:color="auto"/>
        <w:bottom w:val="none" w:sz="0" w:space="0" w:color="auto"/>
        <w:right w:val="none" w:sz="0" w:space="0" w:color="auto"/>
      </w:divBdr>
    </w:div>
    <w:div w:id="1498617062">
      <w:bodyDiv w:val="1"/>
      <w:marLeft w:val="0"/>
      <w:marRight w:val="0"/>
      <w:marTop w:val="0"/>
      <w:marBottom w:val="0"/>
      <w:divBdr>
        <w:top w:val="none" w:sz="0" w:space="0" w:color="auto"/>
        <w:left w:val="none" w:sz="0" w:space="0" w:color="auto"/>
        <w:bottom w:val="none" w:sz="0" w:space="0" w:color="auto"/>
        <w:right w:val="none" w:sz="0" w:space="0" w:color="auto"/>
      </w:divBdr>
    </w:div>
    <w:div w:id="1575553797">
      <w:bodyDiv w:val="1"/>
      <w:marLeft w:val="0"/>
      <w:marRight w:val="0"/>
      <w:marTop w:val="0"/>
      <w:marBottom w:val="0"/>
      <w:divBdr>
        <w:top w:val="none" w:sz="0" w:space="0" w:color="auto"/>
        <w:left w:val="none" w:sz="0" w:space="0" w:color="auto"/>
        <w:bottom w:val="none" w:sz="0" w:space="0" w:color="auto"/>
        <w:right w:val="none" w:sz="0" w:space="0" w:color="auto"/>
      </w:divBdr>
    </w:div>
    <w:div w:id="1662083508">
      <w:bodyDiv w:val="1"/>
      <w:marLeft w:val="0"/>
      <w:marRight w:val="0"/>
      <w:marTop w:val="0"/>
      <w:marBottom w:val="0"/>
      <w:divBdr>
        <w:top w:val="none" w:sz="0" w:space="0" w:color="auto"/>
        <w:left w:val="none" w:sz="0" w:space="0" w:color="auto"/>
        <w:bottom w:val="none" w:sz="0" w:space="0" w:color="auto"/>
        <w:right w:val="none" w:sz="0" w:space="0" w:color="auto"/>
      </w:divBdr>
    </w:div>
    <w:div w:id="1678729751">
      <w:bodyDiv w:val="1"/>
      <w:marLeft w:val="0"/>
      <w:marRight w:val="0"/>
      <w:marTop w:val="0"/>
      <w:marBottom w:val="0"/>
      <w:divBdr>
        <w:top w:val="none" w:sz="0" w:space="0" w:color="auto"/>
        <w:left w:val="none" w:sz="0" w:space="0" w:color="auto"/>
        <w:bottom w:val="none" w:sz="0" w:space="0" w:color="auto"/>
        <w:right w:val="none" w:sz="0" w:space="0" w:color="auto"/>
      </w:divBdr>
    </w:div>
    <w:div w:id="1685204452">
      <w:bodyDiv w:val="1"/>
      <w:marLeft w:val="0"/>
      <w:marRight w:val="0"/>
      <w:marTop w:val="0"/>
      <w:marBottom w:val="0"/>
      <w:divBdr>
        <w:top w:val="none" w:sz="0" w:space="0" w:color="auto"/>
        <w:left w:val="none" w:sz="0" w:space="0" w:color="auto"/>
        <w:bottom w:val="none" w:sz="0" w:space="0" w:color="auto"/>
        <w:right w:val="none" w:sz="0" w:space="0" w:color="auto"/>
      </w:divBdr>
    </w:div>
    <w:div w:id="1695811264">
      <w:bodyDiv w:val="1"/>
      <w:marLeft w:val="0"/>
      <w:marRight w:val="0"/>
      <w:marTop w:val="0"/>
      <w:marBottom w:val="0"/>
      <w:divBdr>
        <w:top w:val="none" w:sz="0" w:space="0" w:color="auto"/>
        <w:left w:val="none" w:sz="0" w:space="0" w:color="auto"/>
        <w:bottom w:val="none" w:sz="0" w:space="0" w:color="auto"/>
        <w:right w:val="none" w:sz="0" w:space="0" w:color="auto"/>
      </w:divBdr>
    </w:div>
    <w:div w:id="1741363204">
      <w:bodyDiv w:val="1"/>
      <w:marLeft w:val="0"/>
      <w:marRight w:val="0"/>
      <w:marTop w:val="0"/>
      <w:marBottom w:val="0"/>
      <w:divBdr>
        <w:top w:val="none" w:sz="0" w:space="0" w:color="auto"/>
        <w:left w:val="none" w:sz="0" w:space="0" w:color="auto"/>
        <w:bottom w:val="none" w:sz="0" w:space="0" w:color="auto"/>
        <w:right w:val="none" w:sz="0" w:space="0" w:color="auto"/>
      </w:divBdr>
    </w:div>
    <w:div w:id="1771777598">
      <w:bodyDiv w:val="1"/>
      <w:marLeft w:val="0"/>
      <w:marRight w:val="0"/>
      <w:marTop w:val="0"/>
      <w:marBottom w:val="0"/>
      <w:divBdr>
        <w:top w:val="none" w:sz="0" w:space="0" w:color="auto"/>
        <w:left w:val="none" w:sz="0" w:space="0" w:color="auto"/>
        <w:bottom w:val="none" w:sz="0" w:space="0" w:color="auto"/>
        <w:right w:val="none" w:sz="0" w:space="0" w:color="auto"/>
      </w:divBdr>
    </w:div>
    <w:div w:id="1799565929">
      <w:bodyDiv w:val="1"/>
      <w:marLeft w:val="0"/>
      <w:marRight w:val="0"/>
      <w:marTop w:val="0"/>
      <w:marBottom w:val="0"/>
      <w:divBdr>
        <w:top w:val="none" w:sz="0" w:space="0" w:color="auto"/>
        <w:left w:val="none" w:sz="0" w:space="0" w:color="auto"/>
        <w:bottom w:val="none" w:sz="0" w:space="0" w:color="auto"/>
        <w:right w:val="none" w:sz="0" w:space="0" w:color="auto"/>
      </w:divBdr>
    </w:div>
    <w:div w:id="1877615993">
      <w:bodyDiv w:val="1"/>
      <w:marLeft w:val="0"/>
      <w:marRight w:val="0"/>
      <w:marTop w:val="0"/>
      <w:marBottom w:val="0"/>
      <w:divBdr>
        <w:top w:val="none" w:sz="0" w:space="0" w:color="auto"/>
        <w:left w:val="none" w:sz="0" w:space="0" w:color="auto"/>
        <w:bottom w:val="none" w:sz="0" w:space="0" w:color="auto"/>
        <w:right w:val="none" w:sz="0" w:space="0" w:color="auto"/>
      </w:divBdr>
    </w:div>
    <w:div w:id="1884052298">
      <w:bodyDiv w:val="1"/>
      <w:marLeft w:val="0"/>
      <w:marRight w:val="0"/>
      <w:marTop w:val="0"/>
      <w:marBottom w:val="0"/>
      <w:divBdr>
        <w:top w:val="none" w:sz="0" w:space="0" w:color="auto"/>
        <w:left w:val="none" w:sz="0" w:space="0" w:color="auto"/>
        <w:bottom w:val="none" w:sz="0" w:space="0" w:color="auto"/>
        <w:right w:val="none" w:sz="0" w:space="0" w:color="auto"/>
      </w:divBdr>
    </w:div>
    <w:div w:id="1950160273">
      <w:bodyDiv w:val="1"/>
      <w:marLeft w:val="0"/>
      <w:marRight w:val="0"/>
      <w:marTop w:val="0"/>
      <w:marBottom w:val="0"/>
      <w:divBdr>
        <w:top w:val="none" w:sz="0" w:space="0" w:color="auto"/>
        <w:left w:val="none" w:sz="0" w:space="0" w:color="auto"/>
        <w:bottom w:val="none" w:sz="0" w:space="0" w:color="auto"/>
        <w:right w:val="none" w:sz="0" w:space="0" w:color="auto"/>
      </w:divBdr>
    </w:div>
    <w:div w:id="2002660837">
      <w:bodyDiv w:val="1"/>
      <w:marLeft w:val="0"/>
      <w:marRight w:val="0"/>
      <w:marTop w:val="0"/>
      <w:marBottom w:val="0"/>
      <w:divBdr>
        <w:top w:val="none" w:sz="0" w:space="0" w:color="auto"/>
        <w:left w:val="none" w:sz="0" w:space="0" w:color="auto"/>
        <w:bottom w:val="none" w:sz="0" w:space="0" w:color="auto"/>
        <w:right w:val="none" w:sz="0" w:space="0" w:color="auto"/>
      </w:divBdr>
    </w:div>
    <w:div w:id="2138793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inutehack.com/opinions/banks-new-approach-to-risk-managemen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484C1B-573C-4A34-9E3B-F4647F5C25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3846</Words>
  <Characters>21157</Characters>
  <Application>Microsoft Office Word</Application>
  <DocSecurity>0</DocSecurity>
  <Lines>440</Lines>
  <Paragraphs>233</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International bank</vt:lpstr>
      <vt:lpstr>International bank</vt:lpstr>
    </vt:vector>
  </TitlesOfParts>
  <Company>Deloitte Touche Tohmatsu Services, Inc.</Company>
  <LinksUpToDate>false</LinksUpToDate>
  <CharactersWithSpaces>24770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bank</dc:title>
  <dc:creator>Ligia Mora</dc:creator>
  <cp:keywords>Produced By WeCo Office Accessibilty</cp:keywords>
  <dc:description>Document Graphics and Hyperlinks
</dc:description>
  <cp:lastModifiedBy>Ligia Mora</cp:lastModifiedBy>
  <cp:revision>2</cp:revision>
  <cp:lastPrinted>2021-02-03T16:39:00Z</cp:lastPrinted>
  <dcterms:created xsi:type="dcterms:W3CDTF">2021-02-03T16:39:00Z</dcterms:created>
  <dcterms:modified xsi:type="dcterms:W3CDTF">2021-02-03T16:39:00Z</dcterms:modified>
  <dc:language>English</dc:language>
</cp:coreProperties>
</file>